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D4" w:rsidRDefault="002169D4">
      <w:pPr>
        <w:spacing w:after="156" w:line="500" w:lineRule="exact"/>
        <w:jc w:val="center"/>
        <w:rPr>
          <w:rFonts w:ascii="宋体"/>
          <w:b/>
          <w:bCs/>
          <w:sz w:val="48"/>
          <w:szCs w:val="48"/>
        </w:rPr>
      </w:pPr>
    </w:p>
    <w:p w:rsidR="002169D4" w:rsidRDefault="002169D4">
      <w:pPr>
        <w:spacing w:after="156" w:line="500" w:lineRule="exact"/>
        <w:jc w:val="center"/>
        <w:rPr>
          <w:rFonts w:ascii="宋体"/>
          <w:b/>
          <w:bCs/>
          <w:sz w:val="48"/>
          <w:szCs w:val="48"/>
        </w:rPr>
      </w:pPr>
    </w:p>
    <w:p w:rsidR="002169D4" w:rsidRDefault="002169D4">
      <w:pPr>
        <w:spacing w:after="156" w:line="500" w:lineRule="exact"/>
        <w:jc w:val="center"/>
        <w:rPr>
          <w:rFonts w:ascii="宋体"/>
          <w:b/>
          <w:bCs/>
          <w:sz w:val="48"/>
          <w:szCs w:val="48"/>
        </w:rPr>
      </w:pPr>
    </w:p>
    <w:p w:rsidR="002169D4" w:rsidRDefault="002169D4">
      <w:pPr>
        <w:spacing w:after="156" w:line="500" w:lineRule="exact"/>
        <w:jc w:val="center"/>
        <w:rPr>
          <w:rFonts w:ascii="宋体"/>
          <w:b/>
          <w:bCs/>
          <w:sz w:val="48"/>
          <w:szCs w:val="48"/>
        </w:rPr>
      </w:pPr>
    </w:p>
    <w:p w:rsidR="002169D4" w:rsidRDefault="002169D4">
      <w:pPr>
        <w:spacing w:after="156" w:line="500" w:lineRule="exact"/>
        <w:jc w:val="center"/>
        <w:rPr>
          <w:rFonts w:ascii="宋体"/>
          <w:b/>
          <w:bCs/>
          <w:sz w:val="48"/>
          <w:szCs w:val="48"/>
        </w:rPr>
      </w:pPr>
    </w:p>
    <w:p w:rsidR="002169D4" w:rsidRDefault="0026776B">
      <w:pPr>
        <w:spacing w:after="156" w:line="500" w:lineRule="exact"/>
        <w:jc w:val="center"/>
        <w:rPr>
          <w:b/>
          <w:sz w:val="48"/>
          <w:lang w:eastAsia="zh-CN"/>
        </w:rPr>
      </w:pPr>
      <w:r>
        <w:rPr>
          <w:b/>
          <w:sz w:val="48"/>
          <w:lang w:eastAsia="zh-CN"/>
        </w:rPr>
        <w:t>兴业兴智一年持有期混合型</w:t>
      </w:r>
    </w:p>
    <w:p w:rsidR="002169D4" w:rsidRDefault="0026776B">
      <w:pPr>
        <w:spacing w:after="156" w:line="500" w:lineRule="exact"/>
        <w:jc w:val="center"/>
        <w:rPr>
          <w:rFonts w:ascii="宋体"/>
          <w:b/>
          <w:bCs/>
          <w:sz w:val="48"/>
          <w:szCs w:val="48"/>
          <w:lang w:eastAsia="zh-CN"/>
        </w:rPr>
      </w:pPr>
      <w:r>
        <w:rPr>
          <w:b/>
          <w:sz w:val="48"/>
          <w:lang w:eastAsia="zh-CN"/>
        </w:rPr>
        <w:t>证</w:t>
      </w:r>
      <w:r>
        <w:rPr>
          <w:rFonts w:ascii="宋体" w:hAnsi="宋体"/>
          <w:b/>
          <w:bCs/>
          <w:sz w:val="48"/>
          <w:szCs w:val="48"/>
          <w:lang w:eastAsia="zh-CN"/>
        </w:rPr>
        <w:t>券投资基金</w:t>
      </w:r>
    </w:p>
    <w:p w:rsidR="002169D4" w:rsidRDefault="002169D4">
      <w:pPr>
        <w:spacing w:after="156" w:line="500" w:lineRule="exact"/>
        <w:jc w:val="center"/>
        <w:rPr>
          <w:rFonts w:ascii="宋体"/>
          <w:b/>
          <w:bCs/>
          <w:sz w:val="48"/>
          <w:szCs w:val="48"/>
          <w:lang w:eastAsia="zh-CN"/>
        </w:rPr>
      </w:pPr>
    </w:p>
    <w:p w:rsidR="002169D4" w:rsidRDefault="0026776B">
      <w:pPr>
        <w:spacing w:after="156" w:line="500" w:lineRule="exact"/>
        <w:jc w:val="center"/>
        <w:rPr>
          <w:rFonts w:ascii="宋体"/>
          <w:bCs/>
          <w:sz w:val="44"/>
          <w:szCs w:val="44"/>
          <w:lang w:eastAsia="zh-CN"/>
        </w:rPr>
      </w:pPr>
      <w:r>
        <w:rPr>
          <w:rFonts w:ascii="宋体" w:hAnsi="宋体"/>
          <w:b/>
          <w:bCs/>
          <w:sz w:val="44"/>
          <w:lang w:eastAsia="zh-CN"/>
        </w:rPr>
        <w:t>托管协议</w:t>
      </w:r>
    </w:p>
    <w:p w:rsidR="002169D4" w:rsidRDefault="002169D4">
      <w:pPr>
        <w:spacing w:line="360" w:lineRule="auto"/>
        <w:ind w:left="4709" w:right="25" w:hanging="4709"/>
        <w:jc w:val="center"/>
        <w:rPr>
          <w:rFonts w:ascii="宋体"/>
          <w:b/>
          <w:bCs/>
          <w:sz w:val="44"/>
          <w:lang w:eastAsia="zh-CN"/>
        </w:rPr>
      </w:pPr>
    </w:p>
    <w:p w:rsidR="002169D4" w:rsidRDefault="002169D4">
      <w:pPr>
        <w:spacing w:line="360" w:lineRule="auto"/>
        <w:jc w:val="center"/>
        <w:rPr>
          <w:rFonts w:ascii="宋体"/>
          <w:b/>
          <w:sz w:val="30"/>
          <w:szCs w:val="30"/>
          <w:lang w:eastAsia="zh-CN"/>
        </w:rPr>
      </w:pPr>
    </w:p>
    <w:p w:rsidR="002169D4" w:rsidRDefault="002169D4">
      <w:pPr>
        <w:spacing w:line="360" w:lineRule="auto"/>
        <w:jc w:val="center"/>
        <w:rPr>
          <w:rFonts w:ascii="宋体"/>
          <w:b/>
          <w:sz w:val="30"/>
          <w:szCs w:val="30"/>
          <w:lang w:eastAsia="zh-CN"/>
        </w:rPr>
      </w:pPr>
    </w:p>
    <w:p w:rsidR="002169D4" w:rsidRDefault="002169D4">
      <w:pPr>
        <w:spacing w:line="360" w:lineRule="auto"/>
        <w:jc w:val="center"/>
        <w:rPr>
          <w:rFonts w:ascii="宋体"/>
          <w:b/>
          <w:sz w:val="30"/>
          <w:szCs w:val="30"/>
          <w:lang w:eastAsia="zh-CN"/>
        </w:rPr>
      </w:pPr>
    </w:p>
    <w:p w:rsidR="002169D4" w:rsidRDefault="002169D4">
      <w:pPr>
        <w:spacing w:line="360" w:lineRule="auto"/>
        <w:jc w:val="center"/>
        <w:rPr>
          <w:rFonts w:ascii="宋体"/>
          <w:b/>
          <w:sz w:val="30"/>
          <w:szCs w:val="30"/>
          <w:lang w:eastAsia="zh-CN"/>
        </w:rPr>
      </w:pPr>
    </w:p>
    <w:p w:rsidR="002169D4" w:rsidRDefault="002169D4">
      <w:pPr>
        <w:spacing w:line="360" w:lineRule="auto"/>
        <w:jc w:val="center"/>
        <w:rPr>
          <w:rFonts w:ascii="宋体"/>
          <w:b/>
          <w:sz w:val="30"/>
          <w:szCs w:val="30"/>
          <w:lang w:eastAsia="zh-CN"/>
        </w:rPr>
      </w:pPr>
    </w:p>
    <w:p w:rsidR="002169D4" w:rsidRDefault="002169D4">
      <w:pPr>
        <w:spacing w:line="360" w:lineRule="auto"/>
        <w:jc w:val="center"/>
        <w:rPr>
          <w:rFonts w:ascii="宋体"/>
          <w:b/>
          <w:sz w:val="30"/>
          <w:szCs w:val="30"/>
          <w:lang w:eastAsia="zh-CN"/>
        </w:rPr>
      </w:pPr>
    </w:p>
    <w:p w:rsidR="002169D4" w:rsidRDefault="002169D4">
      <w:pPr>
        <w:spacing w:line="360" w:lineRule="auto"/>
        <w:rPr>
          <w:rFonts w:ascii="宋体"/>
          <w:b/>
          <w:sz w:val="30"/>
          <w:szCs w:val="30"/>
          <w:lang w:eastAsia="zh-CN"/>
        </w:rPr>
      </w:pPr>
    </w:p>
    <w:p w:rsidR="002169D4" w:rsidRDefault="0026776B">
      <w:pPr>
        <w:spacing w:after="156" w:line="500" w:lineRule="exact"/>
        <w:ind w:left="1079"/>
        <w:rPr>
          <w:rFonts w:ascii="宋体"/>
          <w:b/>
          <w:bCs/>
          <w:sz w:val="36"/>
          <w:szCs w:val="36"/>
          <w:lang w:eastAsia="zh-CN"/>
        </w:rPr>
      </w:pPr>
      <w:r>
        <w:rPr>
          <w:rFonts w:ascii="宋体" w:hAnsi="宋体"/>
          <w:b/>
          <w:bCs/>
          <w:sz w:val="36"/>
          <w:szCs w:val="36"/>
          <w:lang w:eastAsia="zh-CN"/>
        </w:rPr>
        <w:t>基金管理人：兴业基金管理有限公司</w:t>
      </w:r>
    </w:p>
    <w:p w:rsidR="002169D4" w:rsidRDefault="0026776B">
      <w:pPr>
        <w:ind w:left="1079"/>
        <w:rPr>
          <w:rFonts w:ascii="宋体"/>
          <w:lang w:eastAsia="zh-CN"/>
        </w:rPr>
      </w:pPr>
      <w:r>
        <w:rPr>
          <w:rFonts w:ascii="宋体" w:hAnsi="宋体"/>
          <w:b/>
          <w:bCs/>
          <w:sz w:val="36"/>
          <w:szCs w:val="36"/>
          <w:lang w:eastAsia="zh-CN"/>
        </w:rPr>
        <w:t>基金托管人：交通银行股份有限公司</w:t>
      </w:r>
    </w:p>
    <w:p w:rsidR="002169D4" w:rsidRDefault="002169D4">
      <w:pPr>
        <w:ind w:left="1079"/>
        <w:rPr>
          <w:lang w:eastAsia="zh-CN"/>
        </w:rPr>
        <w:sectPr w:rsidR="002169D4">
          <w:headerReference w:type="default" r:id="rId7"/>
          <w:footerReference w:type="even" r:id="rId8"/>
          <w:footerReference w:type="first" r:id="rId9"/>
          <w:pgSz w:w="11906" w:h="16838"/>
          <w:pgMar w:top="1440" w:right="1800" w:bottom="1440" w:left="1800" w:header="851" w:footer="992" w:gutter="0"/>
          <w:pgNumType w:start="1"/>
          <w:cols w:space="425"/>
          <w:docGrid w:type="lines" w:linePitch="312"/>
        </w:sectPr>
      </w:pPr>
    </w:p>
    <w:p w:rsidR="002169D4" w:rsidRDefault="0026776B">
      <w:pPr>
        <w:spacing w:before="312" w:after="156" w:line="360" w:lineRule="auto"/>
        <w:jc w:val="center"/>
        <w:rPr>
          <w:rFonts w:ascii="宋体"/>
          <w:b/>
          <w:sz w:val="44"/>
          <w:szCs w:val="44"/>
        </w:rPr>
      </w:pPr>
      <w:r>
        <w:rPr>
          <w:rFonts w:ascii="宋体" w:hAnsi="宋体"/>
          <w:b/>
          <w:sz w:val="44"/>
          <w:szCs w:val="44"/>
        </w:rPr>
        <w:lastRenderedPageBreak/>
        <w:t>目  录</w:t>
      </w:r>
    </w:p>
    <w:p w:rsidR="002169D4" w:rsidRDefault="001F1C51">
      <w:pPr>
        <w:pStyle w:val="13"/>
        <w:rPr>
          <w:b w:val="0"/>
          <w:caps w:val="0"/>
          <w:noProof/>
          <w:sz w:val="21"/>
          <w:szCs w:val="24"/>
        </w:rPr>
      </w:pPr>
      <w:r>
        <w:rPr>
          <w:rStyle w:val="aa"/>
          <w:rFonts w:ascii="宋体" w:hAnsi="宋体"/>
          <w:bCs/>
          <w:color w:val="000000"/>
          <w:sz w:val="24"/>
          <w:szCs w:val="24"/>
        </w:rPr>
        <w:fldChar w:fldCharType="begin"/>
      </w:r>
      <w:r w:rsidR="0026776B">
        <w:rPr>
          <w:rStyle w:val="aa"/>
          <w:rFonts w:ascii="宋体" w:hAnsi="宋体"/>
          <w:bCs/>
          <w:color w:val="000000"/>
          <w:sz w:val="24"/>
          <w:szCs w:val="24"/>
        </w:rPr>
        <w:instrText xml:space="preserve"> TOC \h \z \t "标题 1,1" </w:instrText>
      </w:r>
      <w:r>
        <w:rPr>
          <w:rStyle w:val="aa"/>
          <w:rFonts w:ascii="宋体" w:hAnsi="宋体"/>
          <w:bCs/>
          <w:color w:val="000000"/>
          <w:sz w:val="24"/>
          <w:szCs w:val="24"/>
        </w:rPr>
        <w:fldChar w:fldCharType="separate"/>
      </w:r>
      <w:hyperlink w:anchor="_Toc291504129" w:history="1">
        <w:r w:rsidR="0026776B">
          <w:rPr>
            <w:rStyle w:val="aa"/>
            <w:noProof/>
          </w:rPr>
          <w:t>一、基金托管协议当事人</w:t>
        </w:r>
        <w:r w:rsidR="0026776B">
          <w:rPr>
            <w:noProof/>
          </w:rPr>
          <w:tab/>
        </w:r>
        <w:r>
          <w:rPr>
            <w:noProof/>
          </w:rPr>
          <w:fldChar w:fldCharType="begin"/>
        </w:r>
        <w:r w:rsidR="0026776B">
          <w:rPr>
            <w:noProof/>
          </w:rPr>
          <w:instrText xml:space="preserve"> PAGEREF _Toc291504129 \h </w:instrText>
        </w:r>
        <w:r>
          <w:rPr>
            <w:noProof/>
          </w:rPr>
        </w:r>
        <w:r>
          <w:rPr>
            <w:noProof/>
          </w:rPr>
          <w:fldChar w:fldCharType="separate"/>
        </w:r>
        <w:r w:rsidR="00DC37B2">
          <w:rPr>
            <w:noProof/>
          </w:rPr>
          <w:t>4</w:t>
        </w:r>
        <w:r>
          <w:rPr>
            <w:noProof/>
          </w:rPr>
          <w:fldChar w:fldCharType="end"/>
        </w:r>
      </w:hyperlink>
    </w:p>
    <w:p w:rsidR="002169D4" w:rsidRDefault="0055335E">
      <w:pPr>
        <w:pStyle w:val="13"/>
        <w:rPr>
          <w:b w:val="0"/>
          <w:caps w:val="0"/>
          <w:noProof/>
          <w:sz w:val="21"/>
          <w:szCs w:val="24"/>
        </w:rPr>
      </w:pPr>
      <w:hyperlink w:anchor="_Toc291504130" w:history="1">
        <w:r w:rsidR="0026776B">
          <w:rPr>
            <w:rStyle w:val="aa"/>
            <w:noProof/>
          </w:rPr>
          <w:t>二、基金托管协议的依据、目的和原则</w:t>
        </w:r>
        <w:r w:rsidR="0026776B">
          <w:rPr>
            <w:noProof/>
          </w:rPr>
          <w:tab/>
        </w:r>
        <w:r w:rsidR="001F1C51">
          <w:rPr>
            <w:noProof/>
          </w:rPr>
          <w:fldChar w:fldCharType="begin"/>
        </w:r>
        <w:r w:rsidR="0026776B">
          <w:rPr>
            <w:noProof/>
          </w:rPr>
          <w:instrText xml:space="preserve"> PAGEREF _Toc291504130 \h </w:instrText>
        </w:r>
        <w:r w:rsidR="001F1C51">
          <w:rPr>
            <w:noProof/>
          </w:rPr>
        </w:r>
        <w:r w:rsidR="001F1C51">
          <w:rPr>
            <w:noProof/>
          </w:rPr>
          <w:fldChar w:fldCharType="separate"/>
        </w:r>
        <w:r w:rsidR="00DC37B2">
          <w:rPr>
            <w:noProof/>
          </w:rPr>
          <w:t>5</w:t>
        </w:r>
        <w:r w:rsidR="001F1C51">
          <w:rPr>
            <w:noProof/>
          </w:rPr>
          <w:fldChar w:fldCharType="end"/>
        </w:r>
      </w:hyperlink>
    </w:p>
    <w:p w:rsidR="002169D4" w:rsidRDefault="0055335E">
      <w:pPr>
        <w:pStyle w:val="13"/>
        <w:rPr>
          <w:b w:val="0"/>
          <w:caps w:val="0"/>
          <w:noProof/>
          <w:sz w:val="21"/>
          <w:szCs w:val="24"/>
        </w:rPr>
      </w:pPr>
      <w:hyperlink w:anchor="_Toc291504131" w:history="1">
        <w:r w:rsidR="0026776B">
          <w:rPr>
            <w:rStyle w:val="aa"/>
            <w:noProof/>
          </w:rPr>
          <w:t>三、基金托管人对基金管理人的业务监督和核查</w:t>
        </w:r>
        <w:r w:rsidR="0026776B">
          <w:rPr>
            <w:noProof/>
          </w:rPr>
          <w:tab/>
        </w:r>
        <w:r w:rsidR="001F1C51">
          <w:rPr>
            <w:noProof/>
          </w:rPr>
          <w:fldChar w:fldCharType="begin"/>
        </w:r>
        <w:r w:rsidR="0026776B">
          <w:rPr>
            <w:noProof/>
          </w:rPr>
          <w:instrText xml:space="preserve"> PAGEREF _Toc291504131 \h </w:instrText>
        </w:r>
        <w:r w:rsidR="001F1C51">
          <w:rPr>
            <w:noProof/>
          </w:rPr>
        </w:r>
        <w:r w:rsidR="001F1C51">
          <w:rPr>
            <w:noProof/>
          </w:rPr>
          <w:fldChar w:fldCharType="separate"/>
        </w:r>
        <w:r w:rsidR="00DC37B2">
          <w:rPr>
            <w:noProof/>
          </w:rPr>
          <w:t>5</w:t>
        </w:r>
        <w:r w:rsidR="001F1C51">
          <w:rPr>
            <w:noProof/>
          </w:rPr>
          <w:fldChar w:fldCharType="end"/>
        </w:r>
      </w:hyperlink>
    </w:p>
    <w:p w:rsidR="002169D4" w:rsidRDefault="0055335E">
      <w:pPr>
        <w:pStyle w:val="13"/>
        <w:rPr>
          <w:b w:val="0"/>
          <w:caps w:val="0"/>
          <w:noProof/>
          <w:sz w:val="21"/>
          <w:szCs w:val="24"/>
        </w:rPr>
      </w:pPr>
      <w:hyperlink w:anchor="_Toc291504132" w:history="1">
        <w:r w:rsidR="0026776B">
          <w:rPr>
            <w:rStyle w:val="aa"/>
            <w:noProof/>
          </w:rPr>
          <w:t>四、基金管理人对基金托管人的业务核查</w:t>
        </w:r>
        <w:r w:rsidR="0026776B">
          <w:rPr>
            <w:noProof/>
          </w:rPr>
          <w:tab/>
        </w:r>
        <w:r w:rsidR="001F1C51">
          <w:rPr>
            <w:noProof/>
          </w:rPr>
          <w:fldChar w:fldCharType="begin"/>
        </w:r>
        <w:r w:rsidR="0026776B">
          <w:rPr>
            <w:noProof/>
          </w:rPr>
          <w:instrText xml:space="preserve"> PAGEREF _Toc291504132 \h </w:instrText>
        </w:r>
        <w:r w:rsidR="001F1C51">
          <w:rPr>
            <w:noProof/>
          </w:rPr>
        </w:r>
        <w:r w:rsidR="001F1C51">
          <w:rPr>
            <w:noProof/>
          </w:rPr>
          <w:fldChar w:fldCharType="separate"/>
        </w:r>
        <w:r w:rsidR="00DC37B2">
          <w:rPr>
            <w:noProof/>
          </w:rPr>
          <w:t>12</w:t>
        </w:r>
        <w:r w:rsidR="001F1C51">
          <w:rPr>
            <w:noProof/>
          </w:rPr>
          <w:fldChar w:fldCharType="end"/>
        </w:r>
      </w:hyperlink>
    </w:p>
    <w:p w:rsidR="002169D4" w:rsidRDefault="0055335E">
      <w:pPr>
        <w:pStyle w:val="13"/>
        <w:rPr>
          <w:b w:val="0"/>
          <w:caps w:val="0"/>
          <w:noProof/>
          <w:sz w:val="21"/>
          <w:szCs w:val="24"/>
        </w:rPr>
      </w:pPr>
      <w:hyperlink w:anchor="_Toc291504133" w:history="1">
        <w:r w:rsidR="0026776B">
          <w:rPr>
            <w:rStyle w:val="aa"/>
            <w:noProof/>
          </w:rPr>
          <w:t>五、基金财产的保管</w:t>
        </w:r>
        <w:r w:rsidR="0026776B">
          <w:rPr>
            <w:noProof/>
          </w:rPr>
          <w:tab/>
        </w:r>
        <w:r w:rsidR="001F1C51">
          <w:rPr>
            <w:noProof/>
          </w:rPr>
          <w:fldChar w:fldCharType="begin"/>
        </w:r>
        <w:r w:rsidR="0026776B">
          <w:rPr>
            <w:noProof/>
          </w:rPr>
          <w:instrText xml:space="preserve"> PAGEREF _Toc291504133 \h </w:instrText>
        </w:r>
        <w:r w:rsidR="001F1C51">
          <w:rPr>
            <w:noProof/>
          </w:rPr>
        </w:r>
        <w:r w:rsidR="001F1C51">
          <w:rPr>
            <w:noProof/>
          </w:rPr>
          <w:fldChar w:fldCharType="separate"/>
        </w:r>
        <w:r w:rsidR="00DC37B2">
          <w:rPr>
            <w:noProof/>
          </w:rPr>
          <w:t>13</w:t>
        </w:r>
        <w:r w:rsidR="001F1C51">
          <w:rPr>
            <w:noProof/>
          </w:rPr>
          <w:fldChar w:fldCharType="end"/>
        </w:r>
      </w:hyperlink>
    </w:p>
    <w:p w:rsidR="002169D4" w:rsidRDefault="0055335E">
      <w:pPr>
        <w:pStyle w:val="13"/>
        <w:rPr>
          <w:b w:val="0"/>
          <w:caps w:val="0"/>
          <w:noProof/>
          <w:sz w:val="21"/>
          <w:szCs w:val="24"/>
        </w:rPr>
      </w:pPr>
      <w:hyperlink w:anchor="_Toc291504134" w:history="1">
        <w:r w:rsidR="0026776B">
          <w:rPr>
            <w:rStyle w:val="aa"/>
            <w:noProof/>
          </w:rPr>
          <w:t>六、指令的发送、确认和执行</w:t>
        </w:r>
        <w:r w:rsidR="0026776B">
          <w:rPr>
            <w:noProof/>
          </w:rPr>
          <w:tab/>
        </w:r>
        <w:r w:rsidR="001F1C51">
          <w:rPr>
            <w:noProof/>
          </w:rPr>
          <w:fldChar w:fldCharType="begin"/>
        </w:r>
        <w:r w:rsidR="0026776B">
          <w:rPr>
            <w:noProof/>
          </w:rPr>
          <w:instrText xml:space="preserve"> PAGEREF _Toc291504134 \h </w:instrText>
        </w:r>
        <w:r w:rsidR="001F1C51">
          <w:rPr>
            <w:noProof/>
          </w:rPr>
        </w:r>
        <w:r w:rsidR="001F1C51">
          <w:rPr>
            <w:noProof/>
          </w:rPr>
          <w:fldChar w:fldCharType="separate"/>
        </w:r>
        <w:r w:rsidR="00DC37B2">
          <w:rPr>
            <w:noProof/>
          </w:rPr>
          <w:t>15</w:t>
        </w:r>
        <w:r w:rsidR="001F1C51">
          <w:rPr>
            <w:noProof/>
          </w:rPr>
          <w:fldChar w:fldCharType="end"/>
        </w:r>
      </w:hyperlink>
    </w:p>
    <w:p w:rsidR="002169D4" w:rsidRDefault="0055335E">
      <w:pPr>
        <w:pStyle w:val="13"/>
        <w:rPr>
          <w:b w:val="0"/>
          <w:caps w:val="0"/>
          <w:noProof/>
          <w:sz w:val="21"/>
          <w:szCs w:val="24"/>
        </w:rPr>
      </w:pPr>
      <w:hyperlink w:anchor="_Toc291504135" w:history="1">
        <w:r w:rsidR="0026776B">
          <w:rPr>
            <w:rStyle w:val="aa"/>
            <w:noProof/>
          </w:rPr>
          <w:t>七、交易及清算交收安排</w:t>
        </w:r>
        <w:r w:rsidR="0026776B">
          <w:rPr>
            <w:noProof/>
          </w:rPr>
          <w:tab/>
        </w:r>
        <w:r w:rsidR="001F1C51">
          <w:rPr>
            <w:noProof/>
          </w:rPr>
          <w:fldChar w:fldCharType="begin"/>
        </w:r>
        <w:r w:rsidR="0026776B">
          <w:rPr>
            <w:noProof/>
          </w:rPr>
          <w:instrText xml:space="preserve"> PAGEREF _Toc291504135 \h </w:instrText>
        </w:r>
        <w:r w:rsidR="001F1C51">
          <w:rPr>
            <w:noProof/>
          </w:rPr>
        </w:r>
        <w:r w:rsidR="001F1C51">
          <w:rPr>
            <w:noProof/>
          </w:rPr>
          <w:fldChar w:fldCharType="separate"/>
        </w:r>
        <w:r w:rsidR="00DC37B2">
          <w:rPr>
            <w:noProof/>
          </w:rPr>
          <w:t>19</w:t>
        </w:r>
        <w:r w:rsidR="001F1C51">
          <w:rPr>
            <w:noProof/>
          </w:rPr>
          <w:fldChar w:fldCharType="end"/>
        </w:r>
      </w:hyperlink>
    </w:p>
    <w:p w:rsidR="002169D4" w:rsidRDefault="0055335E">
      <w:pPr>
        <w:pStyle w:val="13"/>
        <w:rPr>
          <w:b w:val="0"/>
          <w:caps w:val="0"/>
          <w:noProof/>
          <w:sz w:val="21"/>
          <w:szCs w:val="24"/>
        </w:rPr>
      </w:pPr>
      <w:hyperlink w:anchor="_Toc291504136" w:history="1">
        <w:r w:rsidR="0026776B">
          <w:rPr>
            <w:rStyle w:val="aa"/>
            <w:noProof/>
          </w:rPr>
          <w:t>八、基金资产净值计算和会计核算</w:t>
        </w:r>
        <w:r w:rsidR="0026776B">
          <w:rPr>
            <w:noProof/>
          </w:rPr>
          <w:tab/>
        </w:r>
        <w:r w:rsidR="001F1C51">
          <w:rPr>
            <w:noProof/>
          </w:rPr>
          <w:fldChar w:fldCharType="begin"/>
        </w:r>
        <w:r w:rsidR="0026776B">
          <w:rPr>
            <w:noProof/>
          </w:rPr>
          <w:instrText xml:space="preserve"> PAGEREF _Toc291504136 \h </w:instrText>
        </w:r>
        <w:r w:rsidR="001F1C51">
          <w:rPr>
            <w:noProof/>
          </w:rPr>
        </w:r>
        <w:r w:rsidR="001F1C51">
          <w:rPr>
            <w:noProof/>
          </w:rPr>
          <w:fldChar w:fldCharType="separate"/>
        </w:r>
        <w:r w:rsidR="00DC37B2">
          <w:rPr>
            <w:noProof/>
          </w:rPr>
          <w:t>22</w:t>
        </w:r>
        <w:r w:rsidR="001F1C51">
          <w:rPr>
            <w:noProof/>
          </w:rPr>
          <w:fldChar w:fldCharType="end"/>
        </w:r>
      </w:hyperlink>
    </w:p>
    <w:p w:rsidR="002169D4" w:rsidRDefault="0055335E">
      <w:pPr>
        <w:pStyle w:val="13"/>
        <w:rPr>
          <w:b w:val="0"/>
          <w:caps w:val="0"/>
          <w:noProof/>
          <w:sz w:val="21"/>
          <w:szCs w:val="24"/>
        </w:rPr>
      </w:pPr>
      <w:hyperlink w:anchor="_Toc291504137" w:history="1">
        <w:r w:rsidR="0026776B">
          <w:rPr>
            <w:rStyle w:val="aa"/>
            <w:noProof/>
          </w:rPr>
          <w:t>九、基金收益分配</w:t>
        </w:r>
        <w:bookmarkStart w:id="0" w:name="_GoBack"/>
        <w:bookmarkEnd w:id="0"/>
        <w:r w:rsidR="0026776B">
          <w:rPr>
            <w:noProof/>
          </w:rPr>
          <w:tab/>
        </w:r>
        <w:r w:rsidR="001F1C51">
          <w:rPr>
            <w:noProof/>
          </w:rPr>
          <w:fldChar w:fldCharType="begin"/>
        </w:r>
        <w:r w:rsidR="0026776B">
          <w:rPr>
            <w:noProof/>
          </w:rPr>
          <w:instrText xml:space="preserve"> PAGEREF _Toc291504137 \h </w:instrText>
        </w:r>
        <w:r w:rsidR="001F1C51">
          <w:rPr>
            <w:noProof/>
          </w:rPr>
        </w:r>
        <w:r w:rsidR="001F1C51">
          <w:rPr>
            <w:noProof/>
          </w:rPr>
          <w:fldChar w:fldCharType="separate"/>
        </w:r>
        <w:r w:rsidR="00DC37B2">
          <w:rPr>
            <w:noProof/>
          </w:rPr>
          <w:t>27</w:t>
        </w:r>
        <w:r w:rsidR="001F1C51">
          <w:rPr>
            <w:noProof/>
          </w:rPr>
          <w:fldChar w:fldCharType="end"/>
        </w:r>
      </w:hyperlink>
    </w:p>
    <w:p w:rsidR="002169D4" w:rsidRDefault="0055335E">
      <w:pPr>
        <w:pStyle w:val="13"/>
        <w:rPr>
          <w:b w:val="0"/>
          <w:caps w:val="0"/>
          <w:noProof/>
          <w:sz w:val="21"/>
          <w:szCs w:val="24"/>
        </w:rPr>
      </w:pPr>
      <w:hyperlink w:anchor="_Toc291504138" w:history="1">
        <w:r w:rsidR="0026776B">
          <w:rPr>
            <w:rStyle w:val="aa"/>
            <w:noProof/>
          </w:rPr>
          <w:t>十、基金信息披露</w:t>
        </w:r>
        <w:r w:rsidR="0026776B">
          <w:rPr>
            <w:noProof/>
          </w:rPr>
          <w:tab/>
        </w:r>
        <w:r w:rsidR="001F1C51">
          <w:rPr>
            <w:noProof/>
          </w:rPr>
          <w:fldChar w:fldCharType="begin"/>
        </w:r>
        <w:r w:rsidR="0026776B">
          <w:rPr>
            <w:noProof/>
          </w:rPr>
          <w:instrText xml:space="preserve"> PAGEREF _Toc291504138 \h </w:instrText>
        </w:r>
        <w:r w:rsidR="001F1C51">
          <w:rPr>
            <w:noProof/>
          </w:rPr>
        </w:r>
        <w:r w:rsidR="001F1C51">
          <w:rPr>
            <w:noProof/>
          </w:rPr>
          <w:fldChar w:fldCharType="separate"/>
        </w:r>
        <w:r w:rsidR="00DC37B2">
          <w:rPr>
            <w:noProof/>
          </w:rPr>
          <w:t>28</w:t>
        </w:r>
        <w:r w:rsidR="001F1C51">
          <w:rPr>
            <w:noProof/>
          </w:rPr>
          <w:fldChar w:fldCharType="end"/>
        </w:r>
      </w:hyperlink>
    </w:p>
    <w:p w:rsidR="002169D4" w:rsidRDefault="0055335E">
      <w:pPr>
        <w:pStyle w:val="13"/>
        <w:rPr>
          <w:b w:val="0"/>
          <w:caps w:val="0"/>
          <w:noProof/>
          <w:sz w:val="21"/>
          <w:szCs w:val="24"/>
        </w:rPr>
      </w:pPr>
      <w:hyperlink w:anchor="_Toc291504139" w:history="1">
        <w:r w:rsidR="0026776B">
          <w:rPr>
            <w:rStyle w:val="aa"/>
            <w:noProof/>
          </w:rPr>
          <w:t>十一、基金费用</w:t>
        </w:r>
        <w:r w:rsidR="0026776B">
          <w:rPr>
            <w:noProof/>
          </w:rPr>
          <w:tab/>
        </w:r>
        <w:r w:rsidR="001F1C51">
          <w:rPr>
            <w:noProof/>
          </w:rPr>
          <w:fldChar w:fldCharType="begin"/>
        </w:r>
        <w:r w:rsidR="0026776B">
          <w:rPr>
            <w:noProof/>
          </w:rPr>
          <w:instrText xml:space="preserve"> PAGEREF _Toc291504139 \h </w:instrText>
        </w:r>
        <w:r w:rsidR="001F1C51">
          <w:rPr>
            <w:noProof/>
          </w:rPr>
        </w:r>
        <w:r w:rsidR="001F1C51">
          <w:rPr>
            <w:noProof/>
          </w:rPr>
          <w:fldChar w:fldCharType="separate"/>
        </w:r>
        <w:r w:rsidR="00DC37B2">
          <w:rPr>
            <w:noProof/>
          </w:rPr>
          <w:t>29</w:t>
        </w:r>
        <w:r w:rsidR="001F1C51">
          <w:rPr>
            <w:noProof/>
          </w:rPr>
          <w:fldChar w:fldCharType="end"/>
        </w:r>
      </w:hyperlink>
    </w:p>
    <w:p w:rsidR="002169D4" w:rsidRDefault="0055335E">
      <w:pPr>
        <w:pStyle w:val="13"/>
        <w:rPr>
          <w:b w:val="0"/>
          <w:caps w:val="0"/>
          <w:noProof/>
          <w:sz w:val="21"/>
          <w:szCs w:val="24"/>
        </w:rPr>
      </w:pPr>
      <w:hyperlink w:anchor="_Toc291504140" w:history="1">
        <w:r w:rsidR="0026776B">
          <w:rPr>
            <w:rStyle w:val="aa"/>
            <w:noProof/>
          </w:rPr>
          <w:t>十二、基金份额持有人名册的保管</w:t>
        </w:r>
        <w:r w:rsidR="0026776B">
          <w:rPr>
            <w:noProof/>
          </w:rPr>
          <w:tab/>
        </w:r>
        <w:r w:rsidR="001F1C51">
          <w:rPr>
            <w:noProof/>
          </w:rPr>
          <w:fldChar w:fldCharType="begin"/>
        </w:r>
        <w:r w:rsidR="0026776B">
          <w:rPr>
            <w:noProof/>
          </w:rPr>
          <w:instrText xml:space="preserve"> PAGEREF _Toc291504140 \h </w:instrText>
        </w:r>
        <w:r w:rsidR="001F1C51">
          <w:rPr>
            <w:noProof/>
          </w:rPr>
        </w:r>
        <w:r w:rsidR="001F1C51">
          <w:rPr>
            <w:noProof/>
          </w:rPr>
          <w:fldChar w:fldCharType="separate"/>
        </w:r>
        <w:r w:rsidR="00DC37B2">
          <w:rPr>
            <w:noProof/>
          </w:rPr>
          <w:t>31</w:t>
        </w:r>
        <w:r w:rsidR="001F1C51">
          <w:rPr>
            <w:noProof/>
          </w:rPr>
          <w:fldChar w:fldCharType="end"/>
        </w:r>
      </w:hyperlink>
    </w:p>
    <w:p w:rsidR="002169D4" w:rsidRDefault="0055335E">
      <w:pPr>
        <w:pStyle w:val="13"/>
        <w:rPr>
          <w:b w:val="0"/>
          <w:caps w:val="0"/>
          <w:noProof/>
          <w:sz w:val="21"/>
          <w:szCs w:val="24"/>
        </w:rPr>
      </w:pPr>
      <w:hyperlink w:anchor="_Toc291504141" w:history="1">
        <w:r w:rsidR="0026776B">
          <w:rPr>
            <w:rStyle w:val="aa"/>
            <w:noProof/>
          </w:rPr>
          <w:t>十三、基金有关文件档案的保存</w:t>
        </w:r>
        <w:r w:rsidR="0026776B">
          <w:rPr>
            <w:noProof/>
          </w:rPr>
          <w:tab/>
        </w:r>
        <w:r w:rsidR="001F1C51">
          <w:rPr>
            <w:noProof/>
          </w:rPr>
          <w:fldChar w:fldCharType="begin"/>
        </w:r>
        <w:r w:rsidR="0026776B">
          <w:rPr>
            <w:noProof/>
          </w:rPr>
          <w:instrText xml:space="preserve"> PAGEREF _Toc291504141 \h </w:instrText>
        </w:r>
        <w:r w:rsidR="001F1C51">
          <w:rPr>
            <w:noProof/>
          </w:rPr>
        </w:r>
        <w:r w:rsidR="001F1C51">
          <w:rPr>
            <w:noProof/>
          </w:rPr>
          <w:fldChar w:fldCharType="separate"/>
        </w:r>
        <w:r w:rsidR="00DC37B2">
          <w:rPr>
            <w:noProof/>
          </w:rPr>
          <w:t>32</w:t>
        </w:r>
        <w:r w:rsidR="001F1C51">
          <w:rPr>
            <w:noProof/>
          </w:rPr>
          <w:fldChar w:fldCharType="end"/>
        </w:r>
      </w:hyperlink>
    </w:p>
    <w:p w:rsidR="002169D4" w:rsidRDefault="0055335E">
      <w:pPr>
        <w:pStyle w:val="13"/>
        <w:rPr>
          <w:b w:val="0"/>
          <w:caps w:val="0"/>
          <w:noProof/>
          <w:sz w:val="21"/>
          <w:szCs w:val="24"/>
        </w:rPr>
      </w:pPr>
      <w:hyperlink w:anchor="_Toc291504142" w:history="1">
        <w:r w:rsidR="0026776B">
          <w:rPr>
            <w:rStyle w:val="aa"/>
            <w:noProof/>
          </w:rPr>
          <w:t>十四、基金管理人和基金托管人的更换</w:t>
        </w:r>
        <w:r w:rsidR="0026776B">
          <w:rPr>
            <w:noProof/>
          </w:rPr>
          <w:tab/>
        </w:r>
        <w:r w:rsidR="001F1C51">
          <w:rPr>
            <w:noProof/>
          </w:rPr>
          <w:fldChar w:fldCharType="begin"/>
        </w:r>
        <w:r w:rsidR="0026776B">
          <w:rPr>
            <w:noProof/>
          </w:rPr>
          <w:instrText xml:space="preserve"> PAGEREF _Toc291504142 \h </w:instrText>
        </w:r>
        <w:r w:rsidR="001F1C51">
          <w:rPr>
            <w:noProof/>
          </w:rPr>
        </w:r>
        <w:r w:rsidR="001F1C51">
          <w:rPr>
            <w:noProof/>
          </w:rPr>
          <w:fldChar w:fldCharType="separate"/>
        </w:r>
        <w:r w:rsidR="00DC37B2">
          <w:rPr>
            <w:noProof/>
          </w:rPr>
          <w:t>32</w:t>
        </w:r>
        <w:r w:rsidR="001F1C51">
          <w:rPr>
            <w:noProof/>
          </w:rPr>
          <w:fldChar w:fldCharType="end"/>
        </w:r>
      </w:hyperlink>
    </w:p>
    <w:p w:rsidR="002169D4" w:rsidRDefault="0055335E">
      <w:pPr>
        <w:pStyle w:val="13"/>
        <w:rPr>
          <w:b w:val="0"/>
          <w:caps w:val="0"/>
          <w:noProof/>
          <w:sz w:val="21"/>
          <w:szCs w:val="24"/>
        </w:rPr>
      </w:pPr>
      <w:hyperlink w:anchor="_Toc291504143" w:history="1">
        <w:r w:rsidR="0026776B">
          <w:rPr>
            <w:rStyle w:val="aa"/>
            <w:noProof/>
          </w:rPr>
          <w:t>十五、禁止行为</w:t>
        </w:r>
        <w:r w:rsidR="0026776B">
          <w:rPr>
            <w:noProof/>
          </w:rPr>
          <w:tab/>
        </w:r>
        <w:r w:rsidR="001F1C51">
          <w:rPr>
            <w:noProof/>
          </w:rPr>
          <w:fldChar w:fldCharType="begin"/>
        </w:r>
        <w:r w:rsidR="0026776B">
          <w:rPr>
            <w:noProof/>
          </w:rPr>
          <w:instrText xml:space="preserve"> PAGEREF _Toc291504143 \h </w:instrText>
        </w:r>
        <w:r w:rsidR="001F1C51">
          <w:rPr>
            <w:noProof/>
          </w:rPr>
        </w:r>
        <w:r w:rsidR="001F1C51">
          <w:rPr>
            <w:noProof/>
          </w:rPr>
          <w:fldChar w:fldCharType="separate"/>
        </w:r>
        <w:r w:rsidR="00DC37B2">
          <w:rPr>
            <w:noProof/>
          </w:rPr>
          <w:t>35</w:t>
        </w:r>
        <w:r w:rsidR="001F1C51">
          <w:rPr>
            <w:noProof/>
          </w:rPr>
          <w:fldChar w:fldCharType="end"/>
        </w:r>
      </w:hyperlink>
    </w:p>
    <w:p w:rsidR="002169D4" w:rsidRDefault="0055335E">
      <w:pPr>
        <w:pStyle w:val="13"/>
        <w:rPr>
          <w:b w:val="0"/>
          <w:caps w:val="0"/>
          <w:noProof/>
          <w:sz w:val="21"/>
          <w:szCs w:val="24"/>
        </w:rPr>
      </w:pPr>
      <w:hyperlink w:anchor="_Toc291504144" w:history="1">
        <w:r w:rsidR="0026776B">
          <w:rPr>
            <w:rStyle w:val="aa"/>
            <w:noProof/>
          </w:rPr>
          <w:t>十六、基金托管协议的变更、终止与基金财产的清算</w:t>
        </w:r>
        <w:r w:rsidR="0026776B">
          <w:rPr>
            <w:noProof/>
          </w:rPr>
          <w:tab/>
        </w:r>
        <w:r w:rsidR="001F1C51">
          <w:rPr>
            <w:noProof/>
          </w:rPr>
          <w:fldChar w:fldCharType="begin"/>
        </w:r>
        <w:r w:rsidR="0026776B">
          <w:rPr>
            <w:noProof/>
          </w:rPr>
          <w:instrText xml:space="preserve"> PAGEREF _Toc291504144 \h </w:instrText>
        </w:r>
        <w:r w:rsidR="001F1C51">
          <w:rPr>
            <w:noProof/>
          </w:rPr>
        </w:r>
        <w:r w:rsidR="001F1C51">
          <w:rPr>
            <w:noProof/>
          </w:rPr>
          <w:fldChar w:fldCharType="separate"/>
        </w:r>
        <w:r w:rsidR="00DC37B2">
          <w:rPr>
            <w:noProof/>
          </w:rPr>
          <w:t>35</w:t>
        </w:r>
        <w:r w:rsidR="001F1C51">
          <w:rPr>
            <w:noProof/>
          </w:rPr>
          <w:fldChar w:fldCharType="end"/>
        </w:r>
      </w:hyperlink>
    </w:p>
    <w:p w:rsidR="002169D4" w:rsidRDefault="0055335E">
      <w:pPr>
        <w:pStyle w:val="13"/>
        <w:rPr>
          <w:b w:val="0"/>
          <w:caps w:val="0"/>
          <w:noProof/>
          <w:sz w:val="21"/>
          <w:szCs w:val="24"/>
        </w:rPr>
      </w:pPr>
      <w:hyperlink w:anchor="_Toc291504145" w:history="1">
        <w:r w:rsidR="0026776B">
          <w:rPr>
            <w:rStyle w:val="aa"/>
            <w:noProof/>
          </w:rPr>
          <w:t>十七、违约责任</w:t>
        </w:r>
        <w:r w:rsidR="0026776B">
          <w:rPr>
            <w:noProof/>
          </w:rPr>
          <w:tab/>
        </w:r>
        <w:r w:rsidR="001F1C51">
          <w:rPr>
            <w:noProof/>
          </w:rPr>
          <w:fldChar w:fldCharType="begin"/>
        </w:r>
        <w:r w:rsidR="0026776B">
          <w:rPr>
            <w:noProof/>
          </w:rPr>
          <w:instrText xml:space="preserve"> PAGEREF _Toc291504145 \h </w:instrText>
        </w:r>
        <w:r w:rsidR="001F1C51">
          <w:rPr>
            <w:noProof/>
          </w:rPr>
        </w:r>
        <w:r w:rsidR="001F1C51">
          <w:rPr>
            <w:noProof/>
          </w:rPr>
          <w:fldChar w:fldCharType="separate"/>
        </w:r>
        <w:r w:rsidR="00DC37B2">
          <w:rPr>
            <w:noProof/>
          </w:rPr>
          <w:t>36</w:t>
        </w:r>
        <w:r w:rsidR="001F1C51">
          <w:rPr>
            <w:noProof/>
          </w:rPr>
          <w:fldChar w:fldCharType="end"/>
        </w:r>
      </w:hyperlink>
    </w:p>
    <w:p w:rsidR="002169D4" w:rsidRDefault="0055335E">
      <w:pPr>
        <w:pStyle w:val="13"/>
        <w:rPr>
          <w:b w:val="0"/>
          <w:caps w:val="0"/>
          <w:noProof/>
          <w:sz w:val="21"/>
          <w:szCs w:val="24"/>
        </w:rPr>
      </w:pPr>
      <w:hyperlink w:anchor="_Toc291504146" w:history="1">
        <w:r w:rsidR="0026776B">
          <w:rPr>
            <w:rStyle w:val="aa"/>
            <w:noProof/>
          </w:rPr>
          <w:t>十八、争议解决方式</w:t>
        </w:r>
        <w:r w:rsidR="0026776B">
          <w:rPr>
            <w:noProof/>
          </w:rPr>
          <w:tab/>
        </w:r>
        <w:r w:rsidR="001F1C51">
          <w:rPr>
            <w:noProof/>
          </w:rPr>
          <w:fldChar w:fldCharType="begin"/>
        </w:r>
        <w:r w:rsidR="0026776B">
          <w:rPr>
            <w:noProof/>
          </w:rPr>
          <w:instrText xml:space="preserve"> PAGEREF _Toc291504146 \h </w:instrText>
        </w:r>
        <w:r w:rsidR="001F1C51">
          <w:rPr>
            <w:noProof/>
          </w:rPr>
        </w:r>
        <w:r w:rsidR="001F1C51">
          <w:rPr>
            <w:noProof/>
          </w:rPr>
          <w:fldChar w:fldCharType="separate"/>
        </w:r>
        <w:r w:rsidR="00DC37B2">
          <w:rPr>
            <w:noProof/>
          </w:rPr>
          <w:t>38</w:t>
        </w:r>
        <w:r w:rsidR="001F1C51">
          <w:rPr>
            <w:noProof/>
          </w:rPr>
          <w:fldChar w:fldCharType="end"/>
        </w:r>
      </w:hyperlink>
    </w:p>
    <w:p w:rsidR="002169D4" w:rsidRDefault="0055335E">
      <w:pPr>
        <w:pStyle w:val="13"/>
        <w:rPr>
          <w:b w:val="0"/>
          <w:caps w:val="0"/>
          <w:noProof/>
          <w:sz w:val="21"/>
          <w:szCs w:val="24"/>
        </w:rPr>
      </w:pPr>
      <w:hyperlink w:anchor="_Toc291504147" w:history="1">
        <w:r w:rsidR="0026776B">
          <w:rPr>
            <w:rStyle w:val="aa"/>
            <w:noProof/>
          </w:rPr>
          <w:t>十九、基金托管协议的效力</w:t>
        </w:r>
        <w:r w:rsidR="0026776B">
          <w:rPr>
            <w:noProof/>
          </w:rPr>
          <w:tab/>
        </w:r>
        <w:r w:rsidR="001F1C51">
          <w:rPr>
            <w:noProof/>
          </w:rPr>
          <w:fldChar w:fldCharType="begin"/>
        </w:r>
        <w:r w:rsidR="0026776B">
          <w:rPr>
            <w:noProof/>
          </w:rPr>
          <w:instrText xml:space="preserve"> PAGEREF _Toc291504147 \h </w:instrText>
        </w:r>
        <w:r w:rsidR="001F1C51">
          <w:rPr>
            <w:noProof/>
          </w:rPr>
        </w:r>
        <w:r w:rsidR="001F1C51">
          <w:rPr>
            <w:noProof/>
          </w:rPr>
          <w:fldChar w:fldCharType="separate"/>
        </w:r>
        <w:r w:rsidR="00DC37B2">
          <w:rPr>
            <w:noProof/>
          </w:rPr>
          <w:t>39</w:t>
        </w:r>
        <w:r w:rsidR="001F1C51">
          <w:rPr>
            <w:noProof/>
          </w:rPr>
          <w:fldChar w:fldCharType="end"/>
        </w:r>
      </w:hyperlink>
    </w:p>
    <w:p w:rsidR="002169D4" w:rsidRDefault="0055335E">
      <w:pPr>
        <w:pStyle w:val="13"/>
        <w:rPr>
          <w:b w:val="0"/>
          <w:caps w:val="0"/>
          <w:noProof/>
          <w:sz w:val="21"/>
          <w:szCs w:val="24"/>
        </w:rPr>
      </w:pPr>
      <w:hyperlink w:anchor="_Toc291504148" w:history="1">
        <w:r w:rsidR="0026776B">
          <w:rPr>
            <w:rStyle w:val="aa"/>
            <w:noProof/>
          </w:rPr>
          <w:t>二十、其他事项</w:t>
        </w:r>
        <w:r w:rsidR="0026776B">
          <w:rPr>
            <w:noProof/>
          </w:rPr>
          <w:tab/>
        </w:r>
        <w:r w:rsidR="001F1C51">
          <w:rPr>
            <w:noProof/>
          </w:rPr>
          <w:fldChar w:fldCharType="begin"/>
        </w:r>
        <w:r w:rsidR="0026776B">
          <w:rPr>
            <w:noProof/>
          </w:rPr>
          <w:instrText xml:space="preserve"> PAGEREF _Toc291504148 \h </w:instrText>
        </w:r>
        <w:r w:rsidR="001F1C51">
          <w:rPr>
            <w:noProof/>
          </w:rPr>
        </w:r>
        <w:r w:rsidR="001F1C51">
          <w:rPr>
            <w:noProof/>
          </w:rPr>
          <w:fldChar w:fldCharType="separate"/>
        </w:r>
        <w:r w:rsidR="00DC37B2">
          <w:rPr>
            <w:noProof/>
          </w:rPr>
          <w:t>39</w:t>
        </w:r>
        <w:r w:rsidR="001F1C51">
          <w:rPr>
            <w:noProof/>
          </w:rPr>
          <w:fldChar w:fldCharType="end"/>
        </w:r>
      </w:hyperlink>
    </w:p>
    <w:p w:rsidR="002169D4" w:rsidRDefault="0055335E">
      <w:pPr>
        <w:pStyle w:val="13"/>
        <w:rPr>
          <w:b w:val="0"/>
          <w:caps w:val="0"/>
          <w:noProof/>
          <w:sz w:val="21"/>
          <w:szCs w:val="24"/>
        </w:rPr>
      </w:pPr>
      <w:hyperlink w:anchor="_Toc291504149" w:history="1">
        <w:r w:rsidR="0026776B">
          <w:rPr>
            <w:rStyle w:val="aa"/>
            <w:noProof/>
          </w:rPr>
          <w:t>二十一、基金托管协议的签订</w:t>
        </w:r>
        <w:r w:rsidR="0026776B">
          <w:rPr>
            <w:noProof/>
          </w:rPr>
          <w:tab/>
        </w:r>
        <w:r w:rsidR="001F1C51">
          <w:rPr>
            <w:noProof/>
          </w:rPr>
          <w:fldChar w:fldCharType="begin"/>
        </w:r>
        <w:r w:rsidR="0026776B">
          <w:rPr>
            <w:noProof/>
          </w:rPr>
          <w:instrText xml:space="preserve"> PAGEREF _Toc291504149 \h </w:instrText>
        </w:r>
        <w:r w:rsidR="001F1C51">
          <w:rPr>
            <w:noProof/>
          </w:rPr>
        </w:r>
        <w:r w:rsidR="001F1C51">
          <w:rPr>
            <w:noProof/>
          </w:rPr>
          <w:fldChar w:fldCharType="separate"/>
        </w:r>
        <w:r w:rsidR="00DC37B2">
          <w:rPr>
            <w:noProof/>
          </w:rPr>
          <w:t>39</w:t>
        </w:r>
        <w:r w:rsidR="001F1C51">
          <w:rPr>
            <w:noProof/>
          </w:rPr>
          <w:fldChar w:fldCharType="end"/>
        </w:r>
      </w:hyperlink>
    </w:p>
    <w:p w:rsidR="002169D4" w:rsidRDefault="001F1C51">
      <w:pPr>
        <w:pStyle w:val="13"/>
        <w:tabs>
          <w:tab w:val="clear" w:pos="8455"/>
          <w:tab w:val="right" w:leader="dot" w:pos="8296"/>
        </w:tabs>
        <w:spacing w:before="0"/>
        <w:ind w:firstLine="0"/>
        <w:rPr>
          <w:rStyle w:val="aa"/>
          <w:rFonts w:ascii="宋体"/>
          <w:bCs/>
          <w:color w:val="000000"/>
        </w:rPr>
      </w:pPr>
      <w:r>
        <w:rPr>
          <w:rStyle w:val="aa"/>
          <w:rFonts w:ascii="宋体" w:hAnsi="宋体"/>
          <w:bCs/>
          <w:color w:val="000000"/>
          <w:sz w:val="24"/>
          <w:szCs w:val="24"/>
        </w:rPr>
        <w:fldChar w:fldCharType="end"/>
      </w:r>
    </w:p>
    <w:p w:rsidR="002169D4" w:rsidRDefault="0026776B">
      <w:pPr>
        <w:spacing w:line="360" w:lineRule="auto"/>
        <w:ind w:firstLine="420"/>
        <w:rPr>
          <w:rFonts w:ascii="宋体"/>
          <w:sz w:val="24"/>
          <w:lang w:eastAsia="zh-CN"/>
        </w:rPr>
      </w:pPr>
      <w:r>
        <w:rPr>
          <w:rStyle w:val="aa"/>
          <w:rFonts w:ascii="宋体"/>
          <w:bCs/>
          <w:color w:val="000000"/>
          <w:lang w:eastAsia="zh-CN"/>
        </w:rPr>
        <w:br w:type="page"/>
      </w:r>
      <w:bookmarkStart w:id="1" w:name="_Toc125892432"/>
      <w:bookmarkStart w:id="2" w:name="_Toc523829992"/>
      <w:bookmarkStart w:id="3" w:name="_Toc22454432"/>
      <w:r>
        <w:rPr>
          <w:rFonts w:ascii="宋体" w:hAnsi="宋体"/>
          <w:sz w:val="24"/>
          <w:lang w:eastAsia="zh-CN"/>
        </w:rPr>
        <w:lastRenderedPageBreak/>
        <w:t>鉴于兴业基金管理有限公司系一家依照中国法律合法成立并有效存续的有限责任公司，拟募集兴业兴智一年持有期混合型证券投资基金（以下简称“本基金”或“基金”）；</w:t>
      </w:r>
      <w:bookmarkEnd w:id="1"/>
    </w:p>
    <w:p w:rsidR="002169D4" w:rsidRDefault="0026776B">
      <w:pPr>
        <w:spacing w:line="360" w:lineRule="auto"/>
        <w:ind w:firstLine="480"/>
        <w:rPr>
          <w:rFonts w:ascii="宋体"/>
          <w:sz w:val="24"/>
          <w:lang w:eastAsia="zh-CN"/>
        </w:rPr>
      </w:pPr>
      <w:bookmarkStart w:id="4" w:name="_Toc125892433"/>
      <w:r>
        <w:rPr>
          <w:rFonts w:ascii="宋体" w:hAnsi="宋体"/>
          <w:sz w:val="24"/>
          <w:lang w:eastAsia="zh-CN"/>
        </w:rPr>
        <w:t>鉴于交通银行股份有限公司系一家依照中国法律合法成立并有效存续的银行，按照相关法律法规的规定具备担任基金托管人的资格和能力；</w:t>
      </w:r>
      <w:bookmarkEnd w:id="4"/>
    </w:p>
    <w:p w:rsidR="00041AD4" w:rsidRDefault="0026776B">
      <w:pPr>
        <w:spacing w:line="360" w:lineRule="auto"/>
        <w:ind w:firstLine="480"/>
        <w:rPr>
          <w:rFonts w:ascii="宋体" w:hAnsi="宋体"/>
          <w:sz w:val="24"/>
          <w:lang w:eastAsia="zh-CN"/>
        </w:rPr>
      </w:pPr>
      <w:bookmarkStart w:id="5" w:name="_Toc125892434"/>
      <w:r>
        <w:rPr>
          <w:rFonts w:ascii="宋体" w:hAnsi="宋体"/>
          <w:sz w:val="24"/>
          <w:lang w:eastAsia="zh-CN"/>
        </w:rPr>
        <w:t>鉴于兴业基金管理有限公司拟担任兴业兴智一年持有期混合型证券投资基金的基金管理人，交通银行股份有限公司拟担任兴业兴智一年持有期混合型证券投资基金的基金托管人；</w:t>
      </w:r>
      <w:bookmarkEnd w:id="5"/>
    </w:p>
    <w:p w:rsidR="002457A2" w:rsidRDefault="001F1C51">
      <w:pPr>
        <w:spacing w:line="360" w:lineRule="auto"/>
        <w:ind w:firstLine="480"/>
        <w:rPr>
          <w:rFonts w:ascii="宋体" w:hAnsi="宋体"/>
          <w:sz w:val="24"/>
          <w:lang w:eastAsia="zh-CN"/>
        </w:rPr>
      </w:pPr>
      <w:r w:rsidRPr="001F1C51">
        <w:rPr>
          <w:rFonts w:ascii="宋体" w:hAnsi="宋体" w:hint="eastAsia"/>
          <w:sz w:val="24"/>
          <w:lang w:eastAsia="zh-CN"/>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sidRPr="001F1C51">
        <w:rPr>
          <w:rFonts w:ascii="宋体" w:hAnsi="宋体"/>
          <w:sz w:val="24"/>
          <w:lang w:eastAsia="zh-CN"/>
        </w:rPr>
        <w:t>2017</w:t>
      </w:r>
      <w:r w:rsidRPr="001F1C51">
        <w:rPr>
          <w:rFonts w:ascii="宋体" w:hAnsi="宋体" w:hint="eastAsia"/>
          <w:sz w:val="24"/>
          <w:lang w:eastAsia="zh-CN"/>
        </w:rPr>
        <w:t>﹞</w:t>
      </w:r>
      <w:r w:rsidRPr="001F1C51">
        <w:rPr>
          <w:rFonts w:ascii="宋体" w:hAnsi="宋体"/>
          <w:sz w:val="24"/>
          <w:lang w:eastAsia="zh-CN"/>
        </w:rPr>
        <w:t>235</w:t>
      </w:r>
      <w:r w:rsidRPr="001F1C51">
        <w:rPr>
          <w:rFonts w:ascii="宋体" w:hAnsi="宋体" w:hint="eastAsia"/>
          <w:sz w:val="24"/>
          <w:lang w:eastAsia="zh-CN"/>
        </w:rPr>
        <w:t>号）、《中国人民银行关于进一步做好受益所有人身份识别工作有关问题的通知》（银发﹝</w:t>
      </w:r>
      <w:r w:rsidRPr="001F1C51">
        <w:rPr>
          <w:rFonts w:ascii="宋体" w:hAnsi="宋体"/>
          <w:sz w:val="24"/>
          <w:lang w:eastAsia="zh-CN"/>
        </w:rPr>
        <w:t>2018</w:t>
      </w:r>
      <w:r w:rsidRPr="001F1C51">
        <w:rPr>
          <w:rFonts w:ascii="宋体" w:hAnsi="宋体" w:hint="eastAsia"/>
          <w:sz w:val="24"/>
          <w:lang w:eastAsia="zh-CN"/>
        </w:rPr>
        <w:t>﹞</w:t>
      </w:r>
      <w:r w:rsidRPr="001F1C51">
        <w:rPr>
          <w:rFonts w:ascii="宋体" w:hAnsi="宋体"/>
          <w:sz w:val="24"/>
          <w:lang w:eastAsia="zh-CN"/>
        </w:rPr>
        <w:t>164</w:t>
      </w:r>
      <w:r w:rsidRPr="001F1C51">
        <w:rPr>
          <w:rFonts w:ascii="宋体" w:hAnsi="宋体" w:hint="eastAsia"/>
          <w:sz w:val="24"/>
          <w:lang w:eastAsia="zh-CN"/>
        </w:rPr>
        <w:t>号）等反洗钱相关法律法规、监管规定，将严格遵守上述规定，不会违反任何前述规定；承诺用于投资的资金来源不属于违法犯罪所得及其收益；承诺投资的资金来源和去向不涉及洗钱、恐怖融资和逃税等行为；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r w:rsidR="00C23D7A">
        <w:rPr>
          <w:rFonts w:ascii="宋体" w:hAnsi="宋体" w:hint="eastAsia"/>
          <w:sz w:val="24"/>
          <w:lang w:eastAsia="zh-CN"/>
        </w:rPr>
        <w:t>；</w:t>
      </w:r>
    </w:p>
    <w:p w:rsidR="002457A2" w:rsidRPr="002457A2" w:rsidRDefault="001F1C51">
      <w:pPr>
        <w:spacing w:line="360" w:lineRule="auto"/>
        <w:ind w:firstLine="480"/>
        <w:rPr>
          <w:rFonts w:ascii="宋体" w:hAnsi="宋体"/>
          <w:sz w:val="24"/>
          <w:lang w:eastAsia="zh-CN"/>
        </w:rPr>
      </w:pPr>
      <w:r w:rsidRPr="001F1C51">
        <w:rPr>
          <w:rFonts w:ascii="宋体" w:hAnsi="宋体" w:hint="eastAsia"/>
          <w:sz w:val="24"/>
          <w:lang w:eastAsia="zh-CN"/>
        </w:rPr>
        <w:t>基金管理人承诺基金管理人及其关联方均不属于联合国、欧盟或美国等制裁名单，及中国政府部门或有权机关发布的涉恐及反洗钱相关风险名单内的企业或个人；不位于被联合国、欧盟或美国等制裁的国家和地区</w:t>
      </w:r>
      <w:r w:rsidR="00C23D7A">
        <w:rPr>
          <w:rFonts w:ascii="宋体" w:hAnsi="宋体" w:hint="eastAsia"/>
          <w:sz w:val="24"/>
          <w:lang w:eastAsia="zh-CN"/>
        </w:rPr>
        <w:t>；</w:t>
      </w:r>
    </w:p>
    <w:p w:rsidR="002169D4" w:rsidRDefault="0026776B">
      <w:pPr>
        <w:spacing w:line="360" w:lineRule="auto"/>
        <w:ind w:firstLine="480"/>
        <w:rPr>
          <w:rFonts w:ascii="宋体"/>
          <w:sz w:val="24"/>
          <w:lang w:eastAsia="zh-CN"/>
        </w:rPr>
      </w:pPr>
      <w:bookmarkStart w:id="6" w:name="_Toc125892435"/>
      <w:r>
        <w:rPr>
          <w:rFonts w:ascii="宋体" w:hAnsi="宋体"/>
          <w:sz w:val="24"/>
          <w:lang w:eastAsia="zh-CN"/>
        </w:rPr>
        <w:t>为明确</w:t>
      </w:r>
      <w:r>
        <w:rPr>
          <w:rFonts w:ascii="宋体" w:hAnsi="宋体"/>
          <w:bCs/>
          <w:sz w:val="24"/>
          <w:lang w:eastAsia="zh-CN"/>
        </w:rPr>
        <w:t>兴业兴智一年持有期混合型</w:t>
      </w:r>
      <w:r>
        <w:rPr>
          <w:rFonts w:ascii="宋体" w:hAnsi="宋体"/>
          <w:sz w:val="24"/>
          <w:lang w:eastAsia="zh-CN"/>
        </w:rPr>
        <w:t>证券投资基金的基金管理人和基金托管人之间的权利义务关系，特制订本协议；</w:t>
      </w:r>
      <w:bookmarkEnd w:id="6"/>
    </w:p>
    <w:p w:rsidR="002169D4" w:rsidRDefault="0026776B">
      <w:pPr>
        <w:spacing w:line="360" w:lineRule="auto"/>
        <w:ind w:firstLine="480"/>
        <w:rPr>
          <w:rFonts w:ascii="宋体" w:hAnsi="宋体"/>
          <w:sz w:val="24"/>
          <w:lang w:eastAsia="zh-CN"/>
        </w:rPr>
      </w:pPr>
      <w:bookmarkStart w:id="7" w:name="_Toc125892436"/>
      <w:r>
        <w:rPr>
          <w:rFonts w:ascii="宋体" w:hAnsi="宋体"/>
          <w:sz w:val="24"/>
          <w:lang w:eastAsia="zh-CN"/>
        </w:rPr>
        <w:t>除非文义另有所指，本协议的所有术语与《兴业兴智一年持有期混合型证券投资基金基金合同》（以下简称“《基金合同》”）中定义的相应术语具有相同的含义。若有抵触应以《基金合同》为准，并依其条款解释。</w:t>
      </w:r>
      <w:bookmarkStart w:id="8" w:name="_Toc125892437"/>
      <w:bookmarkEnd w:id="7"/>
    </w:p>
    <w:p w:rsidR="002169D4" w:rsidRDefault="0026776B">
      <w:pPr>
        <w:spacing w:line="360" w:lineRule="auto"/>
        <w:ind w:firstLine="480"/>
        <w:rPr>
          <w:rFonts w:ascii="宋体"/>
          <w:sz w:val="24"/>
          <w:lang w:eastAsia="zh-CN"/>
        </w:rPr>
      </w:pPr>
      <w:r>
        <w:rPr>
          <w:rFonts w:ascii="宋体"/>
          <w:sz w:val="24"/>
          <w:lang w:eastAsia="zh-CN"/>
        </w:rPr>
        <w:lastRenderedPageBreak/>
        <w:t>若本基金实施侧袋机制的，侧袋机制实施期间的相关安排见基金合同和招募说明书的规定。</w:t>
      </w:r>
    </w:p>
    <w:p w:rsidR="002169D4" w:rsidRDefault="0026776B">
      <w:pPr>
        <w:pStyle w:val="1"/>
        <w:rPr>
          <w:lang w:eastAsia="zh-CN"/>
        </w:rPr>
      </w:pPr>
      <w:r>
        <w:rPr>
          <w:lang w:eastAsia="zh-CN"/>
        </w:rPr>
        <w:br w:type="page"/>
      </w:r>
      <w:bookmarkStart w:id="9" w:name="_Toc291504129"/>
      <w:r>
        <w:rPr>
          <w:lang w:eastAsia="zh-CN"/>
        </w:rPr>
        <w:lastRenderedPageBreak/>
        <w:t>一、基金托管协议当事人</w:t>
      </w:r>
      <w:bookmarkEnd w:id="2"/>
      <w:bookmarkEnd w:id="3"/>
      <w:bookmarkEnd w:id="8"/>
      <w:bookmarkEnd w:id="9"/>
    </w:p>
    <w:p w:rsidR="002169D4" w:rsidRDefault="0026776B">
      <w:pPr>
        <w:tabs>
          <w:tab w:val="left" w:pos="3780"/>
        </w:tabs>
        <w:spacing w:before="156" w:after="156" w:line="360" w:lineRule="auto"/>
        <w:outlineLvl w:val="0"/>
        <w:rPr>
          <w:rFonts w:ascii="宋体"/>
          <w:b/>
          <w:bCs/>
          <w:sz w:val="24"/>
          <w:lang w:eastAsia="zh-CN"/>
        </w:rPr>
      </w:pPr>
      <w:bookmarkStart w:id="10" w:name="_Toc22454433"/>
      <w:bookmarkStart w:id="11" w:name="_Toc77662992"/>
      <w:r>
        <w:rPr>
          <w:rFonts w:ascii="宋体" w:hAnsi="宋体"/>
          <w:b/>
          <w:bCs/>
          <w:sz w:val="24"/>
          <w:lang w:eastAsia="zh-CN"/>
        </w:rPr>
        <w:t>（一）基金管理人</w:t>
      </w:r>
      <w:bookmarkEnd w:id="10"/>
      <w:bookmarkEnd w:id="11"/>
    </w:p>
    <w:p w:rsidR="002169D4" w:rsidRDefault="0026776B">
      <w:pPr>
        <w:spacing w:line="360" w:lineRule="auto"/>
        <w:ind w:firstLine="480"/>
        <w:rPr>
          <w:rFonts w:ascii="宋体"/>
          <w:sz w:val="24"/>
          <w:lang w:eastAsia="zh-CN"/>
        </w:rPr>
      </w:pPr>
      <w:r>
        <w:rPr>
          <w:rFonts w:ascii="宋体" w:hAnsi="宋体"/>
          <w:sz w:val="24"/>
          <w:lang w:eastAsia="zh-CN"/>
        </w:rPr>
        <w:t>名称：兴业基金管理有限公司</w:t>
      </w:r>
    </w:p>
    <w:p w:rsidR="002169D4" w:rsidRDefault="0026776B">
      <w:pPr>
        <w:spacing w:line="360" w:lineRule="auto"/>
        <w:ind w:firstLine="480"/>
        <w:rPr>
          <w:rFonts w:ascii="宋体"/>
          <w:sz w:val="24"/>
          <w:lang w:eastAsia="zh-CN"/>
        </w:rPr>
      </w:pPr>
      <w:r>
        <w:rPr>
          <w:rFonts w:ascii="宋体" w:hAnsi="宋体"/>
          <w:sz w:val="24"/>
          <w:lang w:eastAsia="zh-CN"/>
        </w:rPr>
        <w:t>住所：</w:t>
      </w:r>
      <w:r>
        <w:rPr>
          <w:rFonts w:ascii="宋体"/>
          <w:sz w:val="24"/>
          <w:lang w:eastAsia="zh-CN"/>
        </w:rPr>
        <w:t>福建省福州市鼓楼区五四路137号信和广场25楼</w:t>
      </w:r>
    </w:p>
    <w:p w:rsidR="002169D4" w:rsidRDefault="0026776B">
      <w:pPr>
        <w:spacing w:line="360" w:lineRule="auto"/>
        <w:ind w:firstLine="480"/>
        <w:rPr>
          <w:rFonts w:ascii="宋体"/>
          <w:sz w:val="24"/>
          <w:lang w:eastAsia="zh-CN"/>
        </w:rPr>
      </w:pPr>
      <w:r>
        <w:rPr>
          <w:rFonts w:ascii="宋体" w:hAnsi="宋体"/>
          <w:sz w:val="24"/>
          <w:lang w:eastAsia="zh-CN"/>
        </w:rPr>
        <w:t>办公地址：上海市浦东新区银城路167号兴业银行大厦13、14层</w:t>
      </w:r>
    </w:p>
    <w:p w:rsidR="002169D4" w:rsidRDefault="0026776B">
      <w:pPr>
        <w:spacing w:line="360" w:lineRule="auto"/>
        <w:ind w:firstLine="480"/>
        <w:rPr>
          <w:color w:val="000000"/>
          <w:sz w:val="24"/>
          <w:lang w:eastAsia="zh-CN"/>
        </w:rPr>
      </w:pPr>
      <w:r>
        <w:rPr>
          <w:rFonts w:ascii="宋体" w:hAnsi="宋体"/>
          <w:sz w:val="24"/>
          <w:lang w:eastAsia="zh-CN"/>
        </w:rPr>
        <w:t>法定代表人：官恒秋</w:t>
      </w:r>
    </w:p>
    <w:p w:rsidR="002169D4" w:rsidRDefault="0026776B">
      <w:pPr>
        <w:spacing w:line="360" w:lineRule="auto"/>
        <w:ind w:firstLine="480"/>
        <w:rPr>
          <w:rFonts w:ascii="宋体"/>
          <w:sz w:val="24"/>
          <w:lang w:eastAsia="zh-CN"/>
        </w:rPr>
      </w:pPr>
      <w:r>
        <w:rPr>
          <w:rFonts w:ascii="宋体" w:hAnsi="宋体"/>
          <w:sz w:val="24"/>
          <w:lang w:eastAsia="zh-CN"/>
        </w:rPr>
        <w:t>成立时间：2013年4月17日</w:t>
      </w:r>
    </w:p>
    <w:p w:rsidR="002169D4" w:rsidRDefault="0026776B">
      <w:pPr>
        <w:spacing w:line="360" w:lineRule="auto"/>
        <w:ind w:firstLine="480"/>
        <w:rPr>
          <w:rFonts w:ascii="宋体" w:hAnsi="宋体"/>
          <w:sz w:val="24"/>
          <w:lang w:eastAsia="zh-CN"/>
        </w:rPr>
      </w:pPr>
      <w:r>
        <w:rPr>
          <w:rFonts w:ascii="宋体" w:hAnsi="宋体"/>
          <w:sz w:val="24"/>
          <w:lang w:eastAsia="zh-CN"/>
        </w:rPr>
        <w:t>批准设立机关：中国证券监督管理委员会</w:t>
      </w:r>
    </w:p>
    <w:p w:rsidR="002169D4" w:rsidRDefault="0026776B">
      <w:pPr>
        <w:spacing w:line="360" w:lineRule="auto"/>
        <w:ind w:firstLine="480"/>
        <w:rPr>
          <w:rFonts w:ascii="宋体"/>
          <w:sz w:val="24"/>
          <w:lang w:eastAsia="zh-CN"/>
        </w:rPr>
      </w:pPr>
      <w:r>
        <w:rPr>
          <w:rFonts w:ascii="宋体" w:hAnsi="宋体"/>
          <w:sz w:val="24"/>
          <w:lang w:eastAsia="zh-CN"/>
        </w:rPr>
        <w:t>批准设立文号：</w:t>
      </w:r>
      <w:r>
        <w:rPr>
          <w:rFonts w:ascii="宋体"/>
          <w:sz w:val="24"/>
          <w:lang w:eastAsia="zh-CN"/>
        </w:rPr>
        <w:t>中国证监会证监许可[2013]288号</w:t>
      </w:r>
    </w:p>
    <w:p w:rsidR="002169D4" w:rsidRDefault="0026776B">
      <w:pPr>
        <w:spacing w:line="360" w:lineRule="auto"/>
        <w:ind w:firstLine="480"/>
        <w:rPr>
          <w:rFonts w:ascii="宋体" w:hAnsi="宋体"/>
          <w:sz w:val="24"/>
          <w:lang w:eastAsia="zh-CN"/>
        </w:rPr>
      </w:pPr>
      <w:r>
        <w:rPr>
          <w:rFonts w:ascii="宋体" w:hAnsi="宋体"/>
          <w:sz w:val="24"/>
          <w:lang w:eastAsia="zh-CN"/>
        </w:rPr>
        <w:t>经营范围：基金募集、基金销售、特定客户资产管理、资产管理和中国证监会许可的其他业务。</w:t>
      </w:r>
    </w:p>
    <w:p w:rsidR="002169D4" w:rsidRDefault="0026776B">
      <w:pPr>
        <w:spacing w:line="360" w:lineRule="auto"/>
        <w:ind w:firstLine="480"/>
        <w:rPr>
          <w:rFonts w:ascii="宋体" w:hAnsi="宋体"/>
          <w:sz w:val="24"/>
          <w:lang w:eastAsia="zh-CN"/>
        </w:rPr>
      </w:pPr>
      <w:r>
        <w:rPr>
          <w:rFonts w:ascii="宋体" w:hAnsi="宋体"/>
          <w:sz w:val="24"/>
          <w:lang w:eastAsia="zh-CN"/>
        </w:rPr>
        <w:t>注册资本： 12亿元人民币</w:t>
      </w:r>
    </w:p>
    <w:p w:rsidR="002169D4" w:rsidRDefault="0026776B">
      <w:pPr>
        <w:spacing w:line="360" w:lineRule="auto"/>
        <w:ind w:firstLine="480"/>
        <w:rPr>
          <w:rFonts w:ascii="宋体" w:hAnsi="宋体"/>
          <w:sz w:val="24"/>
          <w:lang w:eastAsia="zh-CN"/>
        </w:rPr>
      </w:pPr>
      <w:r>
        <w:rPr>
          <w:rFonts w:ascii="宋体" w:hAnsi="宋体"/>
          <w:sz w:val="24"/>
          <w:lang w:eastAsia="zh-CN"/>
        </w:rPr>
        <w:t>组织形式：有限责任公司</w:t>
      </w:r>
    </w:p>
    <w:p w:rsidR="002169D4" w:rsidRDefault="0026776B">
      <w:pPr>
        <w:spacing w:line="360" w:lineRule="auto"/>
        <w:ind w:firstLine="480"/>
        <w:rPr>
          <w:rFonts w:ascii="宋体" w:hAnsi="宋体"/>
          <w:sz w:val="24"/>
          <w:lang w:eastAsia="zh-CN"/>
        </w:rPr>
      </w:pPr>
      <w:r>
        <w:rPr>
          <w:rFonts w:ascii="宋体" w:hAnsi="宋体"/>
          <w:sz w:val="24"/>
          <w:lang w:eastAsia="zh-CN"/>
        </w:rPr>
        <w:t>存续期间：</w:t>
      </w:r>
      <w:bookmarkStart w:id="12" w:name="_Toc22454434"/>
      <w:bookmarkStart w:id="13" w:name="_Toc77662993"/>
      <w:r>
        <w:rPr>
          <w:rFonts w:ascii="宋体" w:hAnsi="宋体"/>
          <w:sz w:val="24"/>
          <w:lang w:eastAsia="zh-CN"/>
        </w:rPr>
        <w:t>持续经营</w:t>
      </w:r>
    </w:p>
    <w:p w:rsidR="002169D4" w:rsidRDefault="002169D4">
      <w:pPr>
        <w:spacing w:line="360" w:lineRule="auto"/>
        <w:ind w:firstLine="480"/>
        <w:rPr>
          <w:rFonts w:ascii="宋体"/>
          <w:sz w:val="24"/>
          <w:lang w:eastAsia="zh-CN"/>
        </w:rPr>
      </w:pP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（二）基金托管人</w:t>
      </w:r>
      <w:bookmarkEnd w:id="12"/>
      <w:bookmarkEnd w:id="13"/>
    </w:p>
    <w:p w:rsidR="002169D4" w:rsidRDefault="0026776B">
      <w:pPr>
        <w:spacing w:line="360" w:lineRule="auto"/>
        <w:ind w:firstLine="480"/>
        <w:rPr>
          <w:rFonts w:ascii="宋体"/>
          <w:sz w:val="24"/>
          <w:lang w:eastAsia="zh-CN"/>
        </w:rPr>
      </w:pPr>
      <w:r>
        <w:rPr>
          <w:rFonts w:ascii="宋体" w:hAnsi="宋体"/>
          <w:sz w:val="24"/>
          <w:lang w:eastAsia="zh-CN"/>
        </w:rPr>
        <w:t>名称：交通银行股份有限公司（简称：“交通银行”）</w:t>
      </w:r>
    </w:p>
    <w:p w:rsidR="002169D4" w:rsidRDefault="0026776B">
      <w:pPr>
        <w:spacing w:line="360" w:lineRule="auto"/>
        <w:ind w:firstLine="480"/>
        <w:rPr>
          <w:rFonts w:ascii="宋体"/>
          <w:sz w:val="24"/>
          <w:lang w:eastAsia="zh-CN"/>
        </w:rPr>
      </w:pPr>
      <w:r>
        <w:rPr>
          <w:rFonts w:ascii="宋体" w:hAnsi="宋体"/>
          <w:sz w:val="24"/>
          <w:lang w:eastAsia="zh-CN"/>
        </w:rPr>
        <w:t>住所：中国（上海）自由贸易试验区银城中路188号（邮政编码：200120）</w:t>
      </w:r>
    </w:p>
    <w:p w:rsidR="002169D4" w:rsidRDefault="0026776B">
      <w:pPr>
        <w:spacing w:line="360" w:lineRule="auto"/>
        <w:ind w:firstLine="480"/>
        <w:rPr>
          <w:rFonts w:ascii="宋体"/>
          <w:sz w:val="24"/>
          <w:lang w:eastAsia="zh-CN"/>
        </w:rPr>
      </w:pPr>
      <w:r>
        <w:rPr>
          <w:rFonts w:ascii="宋体" w:hAnsi="宋体"/>
          <w:sz w:val="24"/>
          <w:lang w:eastAsia="zh-CN"/>
        </w:rPr>
        <w:t>办公地址：上海市长宁区仙霞路18号（邮政编码：200336）</w:t>
      </w:r>
    </w:p>
    <w:p w:rsidR="002169D4" w:rsidRDefault="0026776B">
      <w:pPr>
        <w:spacing w:line="360" w:lineRule="auto"/>
        <w:ind w:firstLine="480"/>
        <w:rPr>
          <w:rFonts w:ascii="宋体"/>
          <w:sz w:val="24"/>
          <w:lang w:eastAsia="zh-CN"/>
        </w:rPr>
      </w:pPr>
      <w:r>
        <w:rPr>
          <w:rFonts w:ascii="宋体" w:hAnsi="宋体"/>
          <w:sz w:val="24"/>
          <w:lang w:eastAsia="zh-CN"/>
        </w:rPr>
        <w:t>法定代表人：任德奇</w:t>
      </w:r>
    </w:p>
    <w:p w:rsidR="002169D4" w:rsidRDefault="0026776B">
      <w:pPr>
        <w:spacing w:line="360" w:lineRule="auto"/>
        <w:ind w:firstLine="480"/>
        <w:rPr>
          <w:rFonts w:ascii="宋体"/>
          <w:sz w:val="24"/>
          <w:lang w:eastAsia="zh-CN"/>
        </w:rPr>
      </w:pPr>
      <w:r>
        <w:rPr>
          <w:rFonts w:ascii="宋体" w:hAnsi="宋体"/>
          <w:sz w:val="24"/>
          <w:lang w:eastAsia="zh-CN"/>
        </w:rPr>
        <w:t>成立时间：1987年3月30日</w:t>
      </w:r>
    </w:p>
    <w:p w:rsidR="002169D4" w:rsidRDefault="0026776B">
      <w:pPr>
        <w:spacing w:line="360" w:lineRule="auto"/>
        <w:ind w:firstLine="480"/>
        <w:rPr>
          <w:rFonts w:ascii="宋体"/>
          <w:sz w:val="24"/>
          <w:lang w:eastAsia="zh-CN"/>
        </w:rPr>
      </w:pPr>
      <w:r>
        <w:rPr>
          <w:rFonts w:ascii="宋体" w:hAnsi="宋体"/>
          <w:sz w:val="24"/>
          <w:lang w:eastAsia="zh-CN"/>
        </w:rPr>
        <w:t>批准设立机关及批准设立文号：国务院国发(1986)字第81 号文和中国人民银行银发［1987］40号文</w:t>
      </w:r>
    </w:p>
    <w:p w:rsidR="002169D4" w:rsidRDefault="0026776B">
      <w:pPr>
        <w:spacing w:line="360" w:lineRule="auto"/>
        <w:ind w:firstLine="480"/>
        <w:rPr>
          <w:rFonts w:ascii="宋体"/>
          <w:sz w:val="24"/>
          <w:lang w:eastAsia="zh-CN"/>
        </w:rPr>
      </w:pPr>
      <w:r>
        <w:rPr>
          <w:rFonts w:ascii="宋体" w:hAnsi="宋体"/>
          <w:sz w:val="24"/>
          <w:lang w:eastAsia="zh-CN"/>
        </w:rPr>
        <w:t>基金托管业务批准文号：中国证监会证监基字［1998］25号</w:t>
      </w:r>
    </w:p>
    <w:p w:rsidR="002169D4" w:rsidRDefault="0026776B">
      <w:pPr>
        <w:spacing w:line="360" w:lineRule="auto"/>
        <w:ind w:firstLine="480"/>
        <w:rPr>
          <w:rFonts w:ascii="宋体"/>
          <w:sz w:val="24"/>
          <w:lang w:eastAsia="zh-CN"/>
        </w:rPr>
      </w:pPr>
      <w:r>
        <w:rPr>
          <w:rFonts w:ascii="宋体" w:hAnsi="宋体"/>
          <w:sz w:val="24"/>
          <w:lang w:eastAsia="zh-CN"/>
        </w:rPr>
        <w:t>经营范围：吸收公众存款；发放短期、中期和长期贷款；办理国内外结算；办理票据承兑与贴现；发行金融债券；代理发行、代理兑付、承销政府债券；买卖政府债券、金融债券；从事同业拆借；买卖、代理买卖外汇；从事银</w:t>
      </w:r>
      <w:r>
        <w:rPr>
          <w:rFonts w:ascii="宋体" w:hAnsi="宋体"/>
          <w:sz w:val="24"/>
          <w:lang w:eastAsia="zh-CN"/>
        </w:rPr>
        <w:lastRenderedPageBreak/>
        <w:t>行卡业务；提供信用证服务及担保；代理收付款项业务；提供保管箱服务；经国务院银行业监督管理机构批准的其他业务；经营结汇、售汇业务。</w:t>
      </w:r>
    </w:p>
    <w:p w:rsidR="002169D4" w:rsidRDefault="0026776B">
      <w:pPr>
        <w:spacing w:line="360" w:lineRule="auto"/>
        <w:ind w:firstLine="480"/>
        <w:rPr>
          <w:rFonts w:ascii="宋体"/>
          <w:sz w:val="24"/>
          <w:lang w:eastAsia="zh-CN"/>
        </w:rPr>
      </w:pPr>
      <w:r>
        <w:rPr>
          <w:rFonts w:ascii="宋体" w:hAnsi="宋体"/>
          <w:sz w:val="24"/>
          <w:lang w:eastAsia="zh-CN"/>
        </w:rPr>
        <w:t>注册资本：742.63亿元人民币</w:t>
      </w:r>
    </w:p>
    <w:p w:rsidR="002169D4" w:rsidRDefault="0026776B">
      <w:pPr>
        <w:spacing w:line="360" w:lineRule="auto"/>
        <w:ind w:firstLine="480"/>
        <w:rPr>
          <w:rFonts w:ascii="宋体"/>
          <w:sz w:val="24"/>
          <w:lang w:eastAsia="zh-CN"/>
        </w:rPr>
      </w:pPr>
      <w:r>
        <w:rPr>
          <w:rFonts w:ascii="宋体" w:hAnsi="宋体"/>
          <w:sz w:val="24"/>
          <w:lang w:eastAsia="zh-CN"/>
        </w:rPr>
        <w:t>组织形式：股份有限公司</w:t>
      </w:r>
    </w:p>
    <w:p w:rsidR="002169D4" w:rsidRDefault="0026776B">
      <w:pPr>
        <w:spacing w:line="360" w:lineRule="auto"/>
        <w:ind w:firstLine="480"/>
        <w:rPr>
          <w:rFonts w:ascii="宋体"/>
          <w:sz w:val="24"/>
          <w:lang w:eastAsia="zh-CN"/>
        </w:rPr>
      </w:pPr>
      <w:r>
        <w:rPr>
          <w:rFonts w:ascii="宋体" w:hAnsi="宋体"/>
          <w:sz w:val="24"/>
          <w:lang w:eastAsia="zh-CN"/>
        </w:rPr>
        <w:t>存续期间：持续经营</w:t>
      </w:r>
    </w:p>
    <w:p w:rsidR="002169D4" w:rsidRDefault="0026776B">
      <w:pPr>
        <w:pStyle w:val="1"/>
        <w:rPr>
          <w:lang w:eastAsia="zh-CN"/>
        </w:rPr>
      </w:pPr>
      <w:bookmarkStart w:id="14" w:name="_Toc466788852"/>
      <w:bookmarkStart w:id="15" w:name="_Toc523829993"/>
      <w:bookmarkStart w:id="16" w:name="_Toc22454435"/>
      <w:bookmarkStart w:id="17" w:name="_Toc125892438"/>
      <w:bookmarkStart w:id="18" w:name="_Toc291504130"/>
      <w:r>
        <w:rPr>
          <w:lang w:eastAsia="zh-CN"/>
        </w:rPr>
        <w:t>二、基金托管协议的依据、目的和原则</w:t>
      </w:r>
      <w:bookmarkEnd w:id="14"/>
      <w:bookmarkEnd w:id="15"/>
      <w:bookmarkEnd w:id="16"/>
      <w:bookmarkEnd w:id="17"/>
      <w:bookmarkEnd w:id="18"/>
    </w:p>
    <w:p w:rsidR="002169D4" w:rsidRDefault="0026776B">
      <w:pPr>
        <w:spacing w:line="360" w:lineRule="auto"/>
        <w:ind w:firstLine="480"/>
        <w:rPr>
          <w:rFonts w:ascii="宋体"/>
          <w:sz w:val="24"/>
          <w:lang w:eastAsia="zh-CN"/>
        </w:rPr>
      </w:pPr>
      <w:r>
        <w:rPr>
          <w:rFonts w:ascii="宋体" w:hAnsi="宋体"/>
          <w:sz w:val="24"/>
          <w:lang w:eastAsia="zh-CN"/>
        </w:rPr>
        <w:t>本协议依据《中华人民共和国证券投资基金法》（以下简称“《基金法》”）、《</w:t>
      </w:r>
      <w:r>
        <w:rPr>
          <w:rFonts w:ascii="宋体" w:hAnsi="宋体"/>
          <w:bCs/>
          <w:color w:val="000000"/>
          <w:sz w:val="24"/>
          <w:lang w:eastAsia="zh-CN"/>
        </w:rPr>
        <w:t>公开募集证券投资基金销售机构监督管理办法</w:t>
      </w:r>
      <w:r>
        <w:rPr>
          <w:rFonts w:ascii="宋体" w:hAnsi="宋体"/>
          <w:sz w:val="24"/>
          <w:lang w:eastAsia="zh-CN"/>
        </w:rPr>
        <w:t>》（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兴业兴智一年持有期混合型证券投资基金基金合同》（以下简称“《基金合同》”）及其他有关规定订立。</w:t>
      </w:r>
    </w:p>
    <w:p w:rsidR="002169D4" w:rsidRDefault="0026776B">
      <w:pPr>
        <w:spacing w:line="360" w:lineRule="auto"/>
        <w:ind w:firstLine="480"/>
        <w:rPr>
          <w:rFonts w:ascii="宋体"/>
          <w:sz w:val="24"/>
          <w:lang w:eastAsia="zh-CN"/>
        </w:rPr>
      </w:pPr>
      <w:r>
        <w:rPr>
          <w:rFonts w:ascii="宋体" w:hAnsi="宋体"/>
          <w:sz w:val="24"/>
          <w:lang w:eastAsia="zh-CN"/>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rsidR="002169D4" w:rsidRDefault="0026776B">
      <w:pPr>
        <w:spacing w:line="360" w:lineRule="auto"/>
        <w:ind w:firstLine="480"/>
        <w:rPr>
          <w:rFonts w:ascii="宋体"/>
          <w:sz w:val="24"/>
          <w:lang w:eastAsia="zh-CN"/>
        </w:rPr>
      </w:pPr>
      <w:r>
        <w:rPr>
          <w:rFonts w:ascii="宋体" w:hAnsi="宋体"/>
          <w:sz w:val="24"/>
          <w:lang w:eastAsia="zh-CN"/>
        </w:rPr>
        <w:t>基金管理人和基金托管人遵循平等自愿、诚实信用、充分保护投资者合法利益的原则，经协商一致，签订本协议。</w:t>
      </w:r>
    </w:p>
    <w:p w:rsidR="002169D4" w:rsidRDefault="0026776B">
      <w:pPr>
        <w:pStyle w:val="1"/>
        <w:rPr>
          <w:rFonts w:hAnsi="宋体"/>
          <w:b w:val="0"/>
          <w:bCs/>
          <w:lang w:eastAsia="zh-CN"/>
        </w:rPr>
      </w:pPr>
      <w:bookmarkStart w:id="19" w:name="_Toc466788853"/>
      <w:bookmarkStart w:id="20" w:name="_Toc523829994"/>
      <w:bookmarkStart w:id="21" w:name="_Toc22454436"/>
      <w:bookmarkStart w:id="22" w:name="_Toc125892439"/>
      <w:bookmarkStart w:id="23" w:name="_Toc291504131"/>
      <w:r>
        <w:rPr>
          <w:lang w:eastAsia="zh-CN"/>
        </w:rPr>
        <w:t>三、基金托管人对基金管理人</w:t>
      </w:r>
      <w:bookmarkEnd w:id="19"/>
      <w:r>
        <w:rPr>
          <w:lang w:eastAsia="zh-CN"/>
        </w:rPr>
        <w:t>的业务监督和核查</w:t>
      </w:r>
      <w:bookmarkEnd w:id="20"/>
      <w:bookmarkEnd w:id="21"/>
      <w:bookmarkEnd w:id="22"/>
      <w:bookmarkEnd w:id="23"/>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（一）基金托管人对基金管理人的投资行为行使监督权</w:t>
      </w:r>
    </w:p>
    <w:p w:rsidR="002169D4" w:rsidRDefault="0026776B">
      <w:pPr>
        <w:tabs>
          <w:tab w:val="left" w:pos="3780"/>
        </w:tabs>
        <w:spacing w:before="156" w:after="156" w:line="360" w:lineRule="auto"/>
        <w:ind w:firstLine="472"/>
        <w:outlineLvl w:val="0"/>
        <w:rPr>
          <w:rFonts w:ascii="宋体"/>
          <w:b/>
          <w:bCs/>
          <w:sz w:val="24"/>
          <w:lang w:eastAsia="zh-CN"/>
        </w:rPr>
      </w:pPr>
      <w:r>
        <w:rPr>
          <w:rFonts w:ascii="宋体" w:hAnsi="宋体"/>
          <w:b/>
          <w:bCs/>
          <w:sz w:val="24"/>
          <w:lang w:eastAsia="zh-CN"/>
        </w:rPr>
        <w:t>1.基金托管人根据有关法律法规的规定及《基金合同》和本协议的约定，对基金的投资范围、投资对象进行监督。</w:t>
      </w:r>
    </w:p>
    <w:p w:rsidR="002169D4" w:rsidRDefault="0026776B">
      <w:pPr>
        <w:spacing w:line="360" w:lineRule="auto"/>
        <w:ind w:firstLine="480"/>
        <w:rPr>
          <w:rFonts w:ascii="宋体" w:hAnsi="宋体"/>
          <w:sz w:val="24"/>
          <w:lang w:eastAsia="zh-CN"/>
        </w:rPr>
      </w:pPr>
      <w:r>
        <w:rPr>
          <w:rFonts w:ascii="宋体" w:hAnsi="宋体"/>
          <w:sz w:val="24"/>
          <w:lang w:eastAsia="zh-CN"/>
        </w:rPr>
        <w:t>本基金的投资范围包括国内依法发行上市的股票（包括中小板、创业板及其他中国证监会核准或注册上市的股票）、债券（包括国债、央行票据、金融债券、企业债券、公司债券、中期票据、短期融资券、超短期融资券、证券公司短期公司债券、公开发行的次级债券、地方政府债券、可转换债券（含分离交易可转债）、可交换债券及其他经中国证监会允许投资的债券）、资产支持</w:t>
      </w:r>
      <w:r>
        <w:rPr>
          <w:rFonts w:ascii="宋体" w:hAnsi="宋体"/>
          <w:sz w:val="24"/>
          <w:lang w:eastAsia="zh-CN"/>
        </w:rPr>
        <w:lastRenderedPageBreak/>
        <w:t>证券、债券回购、同业存单、银行存款（包括协议存款、定期存款及其他银行存款）、货币市场工具、股指期货以及法律法规或中国证监会允许基金投资的其他金融工具，但须符合中国证监会相关规定。</w:t>
      </w:r>
    </w:p>
    <w:p w:rsidR="002169D4" w:rsidRDefault="0026776B">
      <w:pPr>
        <w:spacing w:line="360" w:lineRule="auto"/>
        <w:ind w:firstLine="480"/>
        <w:rPr>
          <w:rFonts w:ascii="宋体" w:hAnsi="宋体"/>
          <w:sz w:val="24"/>
          <w:lang w:eastAsia="zh-CN"/>
        </w:rPr>
      </w:pPr>
      <w:r>
        <w:rPr>
          <w:rFonts w:ascii="宋体" w:hAnsi="宋体"/>
          <w:sz w:val="24"/>
          <w:lang w:eastAsia="zh-CN"/>
        </w:rPr>
        <w:t>如法律法规或监管机构以后允许基金投资其他品种，基金管理人在履行适当程序后，可以将其纳入投资范围。</w:t>
      </w:r>
    </w:p>
    <w:p w:rsidR="002169D4" w:rsidRDefault="0026776B">
      <w:pPr>
        <w:tabs>
          <w:tab w:val="left" w:pos="3780"/>
        </w:tabs>
        <w:spacing w:before="156" w:after="156" w:line="360" w:lineRule="auto"/>
        <w:ind w:firstLine="354"/>
        <w:outlineLvl w:val="0"/>
        <w:rPr>
          <w:rFonts w:ascii="宋体"/>
          <w:b/>
          <w:bCs/>
          <w:sz w:val="24"/>
          <w:lang w:eastAsia="zh-CN"/>
        </w:rPr>
      </w:pPr>
      <w:r>
        <w:rPr>
          <w:rFonts w:ascii="宋体" w:hAnsi="宋体"/>
          <w:b/>
          <w:bCs/>
          <w:sz w:val="24"/>
          <w:lang w:eastAsia="zh-CN"/>
        </w:rPr>
        <w:t>2.基金托管人根据有关法律法规的规定及《基金合同》和本协议的约定，对基金投资、融资比例进行监督。</w:t>
      </w:r>
    </w:p>
    <w:p w:rsidR="002169D4" w:rsidRDefault="0026776B">
      <w:pPr>
        <w:tabs>
          <w:tab w:val="num" w:pos="1260"/>
        </w:tabs>
        <w:spacing w:line="336" w:lineRule="auto"/>
        <w:ind w:firstLine="480"/>
        <w:rPr>
          <w:rFonts w:ascii="宋体"/>
          <w:sz w:val="24"/>
          <w:lang w:eastAsia="zh-CN"/>
        </w:rPr>
      </w:pPr>
      <w:r>
        <w:rPr>
          <w:rFonts w:ascii="宋体" w:hAnsi="宋体"/>
          <w:sz w:val="24"/>
          <w:lang w:eastAsia="zh-CN"/>
        </w:rPr>
        <w:t>根据《基金合同》的约定，本基金投资组合比例应符合以下规定：</w:t>
      </w:r>
    </w:p>
    <w:p w:rsidR="002169D4" w:rsidRDefault="0026776B">
      <w:pPr>
        <w:spacing w:line="360" w:lineRule="auto"/>
        <w:ind w:firstLine="480"/>
        <w:rPr>
          <w:rFonts w:ascii="宋体" w:hAnsi="宋体"/>
          <w:bCs/>
          <w:sz w:val="24"/>
          <w:lang w:eastAsia="zh-CN"/>
        </w:rPr>
      </w:pPr>
      <w:r>
        <w:rPr>
          <w:rFonts w:ascii="宋体" w:hAnsi="宋体"/>
          <w:bCs/>
          <w:sz w:val="24"/>
          <w:lang w:eastAsia="zh-CN"/>
        </w:rPr>
        <w:t>本基金的投资组合比例为：股票资产占基金资产的比例为60%-95%；每个交易日日终在扣除股指期货合约需缴纳的交易保证金后，本基金持有的现金或到期日在一年以内的政府债券投资比例不低于基金资产净值的5%，其中现金不包括结算备付金、存出保证金及应收申购款等。</w:t>
      </w:r>
    </w:p>
    <w:p w:rsidR="002169D4" w:rsidRDefault="0026776B">
      <w:pPr>
        <w:spacing w:line="360" w:lineRule="auto"/>
        <w:ind w:firstLine="480"/>
        <w:rPr>
          <w:rFonts w:ascii="宋体" w:hAnsi="宋体"/>
          <w:bCs/>
          <w:sz w:val="24"/>
          <w:lang w:eastAsia="zh-CN"/>
        </w:rPr>
      </w:pPr>
      <w:r>
        <w:rPr>
          <w:rFonts w:ascii="宋体" w:hAnsi="宋体"/>
          <w:bCs/>
          <w:sz w:val="24"/>
          <w:lang w:eastAsia="zh-CN"/>
        </w:rPr>
        <w:t>如果法律法规或中国证监会变更投资品种的投资比例限制，基金管理人在履行适当程序后，可以调整上述投资品种的投资比例。</w:t>
      </w:r>
    </w:p>
    <w:p w:rsidR="00C23D7A" w:rsidRDefault="0026776B">
      <w:pPr>
        <w:spacing w:line="360" w:lineRule="auto"/>
        <w:ind w:firstLine="480"/>
        <w:rPr>
          <w:rFonts w:ascii="宋体" w:hAnsi="宋体"/>
          <w:color w:val="000000"/>
          <w:sz w:val="24"/>
          <w:lang w:eastAsia="zh-CN"/>
        </w:rPr>
      </w:pPr>
      <w:r>
        <w:rPr>
          <w:rFonts w:ascii="宋体" w:hAnsi="宋体"/>
          <w:color w:val="000000"/>
          <w:sz w:val="24"/>
          <w:lang w:eastAsia="zh-CN"/>
        </w:rPr>
        <w:t>基金的投资组合应遵循以下限制：</w:t>
      </w:r>
    </w:p>
    <w:p w:rsidR="00C23D7A" w:rsidRDefault="0026776B">
      <w:pPr>
        <w:spacing w:line="360" w:lineRule="auto"/>
        <w:ind w:firstLine="480"/>
        <w:rPr>
          <w:rFonts w:ascii="宋体" w:hAnsi="宋体"/>
          <w:bCs/>
          <w:sz w:val="24"/>
          <w:lang w:eastAsia="zh-CN"/>
        </w:rPr>
      </w:pPr>
      <w:r>
        <w:rPr>
          <w:rFonts w:ascii="宋体" w:hAnsi="宋体"/>
          <w:bCs/>
          <w:sz w:val="24"/>
          <w:lang w:eastAsia="zh-CN"/>
        </w:rPr>
        <w:t>（1）本基金投资组合中股票资产占基金资产的比例为60%-95%；</w:t>
      </w:r>
    </w:p>
    <w:p w:rsidR="002169D4" w:rsidRDefault="0026776B">
      <w:pPr>
        <w:spacing w:line="360" w:lineRule="auto"/>
        <w:ind w:firstLine="480"/>
        <w:rPr>
          <w:rFonts w:ascii="宋体" w:hAnsi="宋体"/>
          <w:bCs/>
          <w:sz w:val="24"/>
          <w:lang w:eastAsia="zh-CN"/>
        </w:rPr>
      </w:pPr>
      <w:r>
        <w:rPr>
          <w:rFonts w:ascii="宋体" w:hAnsi="宋体"/>
          <w:bCs/>
          <w:sz w:val="24"/>
          <w:lang w:eastAsia="zh-CN"/>
        </w:rPr>
        <w:t>（2）本基金每个交易日日终在扣除股指期货合约需缴纳的交易保证金后，应当保持不低于基金资产净值5%的现金或到期日在一年以内的政府债券。其中，现金不包括结算备付金、存出保证金和应收申购款等；</w:t>
      </w:r>
    </w:p>
    <w:p w:rsidR="002169D4" w:rsidRDefault="0026776B">
      <w:pPr>
        <w:spacing w:line="360" w:lineRule="auto"/>
        <w:ind w:firstLine="480"/>
        <w:rPr>
          <w:rFonts w:ascii="宋体" w:hAnsi="宋体"/>
          <w:bCs/>
          <w:sz w:val="24"/>
          <w:lang w:eastAsia="zh-CN"/>
        </w:rPr>
      </w:pPr>
      <w:r>
        <w:rPr>
          <w:rFonts w:ascii="宋体" w:hAnsi="宋体"/>
          <w:bCs/>
          <w:sz w:val="24"/>
          <w:lang w:eastAsia="zh-CN"/>
        </w:rPr>
        <w:t>（3）本基金持有一家公司发行的证券，其市值不超过基金资产净值的10%；</w:t>
      </w:r>
    </w:p>
    <w:p w:rsidR="002169D4" w:rsidRDefault="0026776B">
      <w:pPr>
        <w:spacing w:line="360" w:lineRule="auto"/>
        <w:ind w:firstLine="480"/>
        <w:rPr>
          <w:rFonts w:ascii="宋体" w:hAnsi="宋体"/>
          <w:bCs/>
          <w:sz w:val="24"/>
          <w:lang w:eastAsia="zh-CN"/>
        </w:rPr>
      </w:pPr>
      <w:r>
        <w:rPr>
          <w:rFonts w:ascii="宋体" w:hAnsi="宋体"/>
          <w:bCs/>
          <w:sz w:val="24"/>
          <w:lang w:eastAsia="zh-CN"/>
        </w:rPr>
        <w:t>（4）本基金管理人管理的全部基金持有一家公司发行的证券，不超过该证券的10%，完全按照有关指数的构成比例进行证券投资的基金品种可以不受此条款规定的比例限制；</w:t>
      </w:r>
    </w:p>
    <w:p w:rsidR="002169D4" w:rsidRDefault="0026776B">
      <w:pPr>
        <w:spacing w:line="360" w:lineRule="auto"/>
        <w:ind w:firstLine="480"/>
        <w:rPr>
          <w:rFonts w:ascii="宋体" w:hAnsi="宋体"/>
          <w:bCs/>
          <w:sz w:val="24"/>
          <w:lang w:eastAsia="zh-CN"/>
        </w:rPr>
      </w:pPr>
      <w:r>
        <w:rPr>
          <w:rFonts w:ascii="宋体" w:hAnsi="宋体"/>
          <w:bCs/>
          <w:sz w:val="24"/>
          <w:lang w:eastAsia="zh-CN"/>
        </w:rPr>
        <w:t>（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（6）本基金投资于同一原始权益人的各类资产支持证券的比例，不得超过基金资产净值的10%；</w:t>
      </w:r>
    </w:p>
    <w:p w:rsidR="002169D4" w:rsidRDefault="0026776B">
      <w:pPr>
        <w:spacing w:line="360" w:lineRule="auto"/>
        <w:ind w:firstLine="480"/>
        <w:rPr>
          <w:rFonts w:ascii="宋体" w:hAnsi="宋体"/>
          <w:bCs/>
          <w:sz w:val="24"/>
          <w:lang w:eastAsia="zh-CN"/>
        </w:rPr>
      </w:pPr>
      <w:r>
        <w:rPr>
          <w:rFonts w:ascii="宋体" w:hAnsi="宋体"/>
          <w:bCs/>
          <w:sz w:val="24"/>
          <w:lang w:eastAsia="zh-CN"/>
        </w:rPr>
        <w:t>（7）本基金持有的全部资产支持证券，其市值不得超过基金资产净值的20%；</w:t>
      </w:r>
    </w:p>
    <w:p w:rsidR="002169D4" w:rsidRDefault="0026776B">
      <w:pPr>
        <w:spacing w:line="360" w:lineRule="auto"/>
        <w:ind w:firstLine="480"/>
        <w:rPr>
          <w:rFonts w:ascii="宋体" w:hAnsi="宋体"/>
          <w:bCs/>
          <w:sz w:val="24"/>
          <w:lang w:eastAsia="zh-CN"/>
        </w:rPr>
      </w:pPr>
      <w:r>
        <w:rPr>
          <w:rFonts w:ascii="宋体" w:hAnsi="宋体"/>
          <w:bCs/>
          <w:sz w:val="24"/>
          <w:lang w:eastAsia="zh-CN"/>
        </w:rPr>
        <w:t>（8）本基金持有的同一(指同一信用级别)资产支持证券的比例，不得超过该资产支持证券规模的10%；</w:t>
      </w:r>
    </w:p>
    <w:p w:rsidR="002169D4" w:rsidRDefault="0026776B">
      <w:pPr>
        <w:spacing w:line="360" w:lineRule="auto"/>
        <w:ind w:firstLine="480"/>
        <w:rPr>
          <w:rFonts w:ascii="宋体" w:hAnsi="宋体"/>
          <w:bCs/>
          <w:sz w:val="24"/>
          <w:lang w:eastAsia="zh-CN"/>
        </w:rPr>
      </w:pPr>
      <w:r>
        <w:rPr>
          <w:rFonts w:ascii="宋体" w:hAnsi="宋体"/>
          <w:bCs/>
          <w:sz w:val="24"/>
          <w:lang w:eastAsia="zh-CN"/>
        </w:rPr>
        <w:t>（9）本基金管理人管理的全部基金投资于同一原始权益人的各类资产支持证券，不得超过其各类资产支持证券合计规模的10%；</w:t>
      </w:r>
    </w:p>
    <w:p w:rsidR="002169D4" w:rsidRDefault="0026776B">
      <w:pPr>
        <w:spacing w:line="360" w:lineRule="auto"/>
        <w:ind w:firstLine="480"/>
        <w:rPr>
          <w:rFonts w:ascii="宋体" w:hAnsi="宋体"/>
          <w:bCs/>
          <w:sz w:val="24"/>
          <w:lang w:eastAsia="zh-CN"/>
        </w:rPr>
      </w:pPr>
      <w:r>
        <w:rPr>
          <w:rFonts w:ascii="宋体" w:hAnsi="宋体"/>
          <w:bCs/>
          <w:sz w:val="24"/>
          <w:lang w:eastAsia="zh-CN"/>
        </w:rPr>
        <w:t>（10）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2169D4" w:rsidRDefault="0026776B">
      <w:pPr>
        <w:spacing w:line="360" w:lineRule="auto"/>
        <w:ind w:firstLine="480"/>
        <w:rPr>
          <w:rFonts w:ascii="宋体" w:hAnsi="宋体"/>
          <w:bCs/>
          <w:sz w:val="24"/>
          <w:lang w:eastAsia="zh-CN"/>
        </w:rPr>
      </w:pPr>
      <w:r>
        <w:rPr>
          <w:rFonts w:ascii="宋体" w:hAnsi="宋体"/>
          <w:bCs/>
          <w:sz w:val="24"/>
          <w:lang w:eastAsia="zh-CN"/>
        </w:rPr>
        <w:t>（11）本基金与私募类证券资管产品及中国证监会认定的其他主体为交易对手开展逆回购交易的，可接受质押品的资质要求应当与基金合同约定的投资范围保持一致；</w:t>
      </w:r>
    </w:p>
    <w:p w:rsidR="002169D4" w:rsidRDefault="0026776B">
      <w:pPr>
        <w:spacing w:line="360" w:lineRule="auto"/>
        <w:ind w:firstLine="480"/>
        <w:rPr>
          <w:rFonts w:ascii="宋体" w:hAnsi="宋体"/>
          <w:bCs/>
          <w:sz w:val="24"/>
          <w:lang w:eastAsia="zh-CN"/>
        </w:rPr>
      </w:pPr>
      <w:r>
        <w:rPr>
          <w:rFonts w:ascii="宋体" w:hAnsi="宋体"/>
          <w:bCs/>
          <w:sz w:val="24"/>
          <w:lang w:eastAsia="zh-CN"/>
        </w:rPr>
        <w:t>（12）本基金应投资于信用级别评级为BBB以上(含BBB)的资产支持证券。基金持有资产支持证券期间，如果其信用等级下降、不再符合投资标准，应在评级报告发布之日起3个月内予以全部卖出；</w:t>
      </w:r>
    </w:p>
    <w:p w:rsidR="002169D4" w:rsidRDefault="0026776B">
      <w:pPr>
        <w:spacing w:line="360" w:lineRule="auto"/>
        <w:ind w:firstLine="480"/>
        <w:rPr>
          <w:rFonts w:ascii="宋体" w:hAnsi="宋体"/>
          <w:bCs/>
          <w:sz w:val="24"/>
          <w:lang w:eastAsia="zh-CN"/>
        </w:rPr>
      </w:pPr>
      <w:r>
        <w:rPr>
          <w:rFonts w:ascii="宋体" w:hAnsi="宋体"/>
          <w:bCs/>
          <w:sz w:val="24"/>
          <w:lang w:eastAsia="zh-CN"/>
        </w:rPr>
        <w:t>（13）基金财产参与股票发行申购，本基金所申报的金额不超过本基金的总资产，本基金所申报的股票数量不超过拟发行股票公司本次发行股票的总量；</w:t>
      </w:r>
    </w:p>
    <w:p w:rsidR="002169D4" w:rsidRDefault="0026776B">
      <w:pPr>
        <w:spacing w:line="360" w:lineRule="auto"/>
        <w:ind w:firstLine="480"/>
        <w:rPr>
          <w:rFonts w:ascii="宋体" w:hAnsi="宋体"/>
          <w:bCs/>
          <w:sz w:val="24"/>
          <w:lang w:eastAsia="zh-CN"/>
        </w:rPr>
      </w:pPr>
      <w:r>
        <w:rPr>
          <w:rFonts w:ascii="宋体" w:hAnsi="宋体"/>
          <w:bCs/>
          <w:sz w:val="24"/>
          <w:lang w:eastAsia="zh-CN"/>
        </w:rPr>
        <w:t>（14）本基金进入全国银行间同业市场进行债券回购的最长期限为1年，债券回购到期后不得展期；</w:t>
      </w:r>
    </w:p>
    <w:p w:rsidR="002169D4" w:rsidRDefault="0026776B">
      <w:pPr>
        <w:spacing w:line="360" w:lineRule="auto"/>
        <w:ind w:firstLine="480"/>
        <w:rPr>
          <w:rFonts w:ascii="宋体" w:hAnsi="宋体"/>
          <w:bCs/>
          <w:sz w:val="24"/>
          <w:lang w:eastAsia="zh-CN"/>
        </w:rPr>
      </w:pPr>
      <w:r>
        <w:rPr>
          <w:rFonts w:ascii="宋体" w:hAnsi="宋体"/>
          <w:bCs/>
          <w:sz w:val="24"/>
          <w:lang w:eastAsia="zh-CN"/>
        </w:rPr>
        <w:t>（15）若本基金参与股指期货交易的，本基金在任何交易日日终，持有的买入股指期货合约价值，不得超过基金资产净值的10%；在任何交易日日终，持有的买入股指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w:t>
      </w:r>
      <w:r>
        <w:rPr>
          <w:rFonts w:ascii="宋体" w:hAnsi="宋体"/>
          <w:bCs/>
          <w:sz w:val="24"/>
          <w:lang w:eastAsia="zh-CN"/>
        </w:rPr>
        <w:lastRenderedPageBreak/>
        <w:t>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2169D4" w:rsidRDefault="0026776B">
      <w:pPr>
        <w:spacing w:line="360" w:lineRule="auto"/>
        <w:ind w:firstLine="480"/>
        <w:rPr>
          <w:rFonts w:ascii="宋体" w:hAnsi="宋体"/>
          <w:bCs/>
          <w:sz w:val="24"/>
          <w:lang w:eastAsia="zh-CN"/>
        </w:rPr>
      </w:pPr>
      <w:r>
        <w:rPr>
          <w:rFonts w:ascii="宋体" w:hAnsi="宋体"/>
          <w:bCs/>
          <w:sz w:val="24"/>
          <w:lang w:eastAsia="zh-CN"/>
        </w:rPr>
        <w:t>（16）本基金的基金资产总值不超过基金资产净值的140%；</w:t>
      </w:r>
    </w:p>
    <w:p w:rsidR="002169D4" w:rsidRDefault="0026776B">
      <w:pPr>
        <w:spacing w:line="360" w:lineRule="auto"/>
        <w:ind w:firstLine="480"/>
        <w:rPr>
          <w:rFonts w:ascii="宋体" w:hAnsi="宋体"/>
          <w:bCs/>
          <w:sz w:val="24"/>
          <w:lang w:eastAsia="zh-CN"/>
        </w:rPr>
      </w:pPr>
      <w:r>
        <w:rPr>
          <w:rFonts w:ascii="宋体" w:hAnsi="宋体"/>
          <w:bCs/>
          <w:sz w:val="24"/>
          <w:lang w:eastAsia="zh-CN"/>
        </w:rPr>
        <w:t>（17）法律法规及中国证监会规定的和《基金合同》约定的其他投资限制。</w:t>
      </w:r>
    </w:p>
    <w:p w:rsidR="002169D4" w:rsidRDefault="0026776B">
      <w:pPr>
        <w:spacing w:line="360" w:lineRule="auto"/>
        <w:ind w:firstLine="480"/>
        <w:rPr>
          <w:rFonts w:ascii="宋体" w:hAnsi="宋体"/>
          <w:bCs/>
          <w:sz w:val="24"/>
          <w:lang w:eastAsia="zh-CN"/>
        </w:rPr>
      </w:pPr>
      <w:r>
        <w:rPr>
          <w:rFonts w:ascii="宋体" w:hAnsi="宋体"/>
          <w:bCs/>
          <w:sz w:val="24"/>
          <w:lang w:eastAsia="zh-CN"/>
        </w:rPr>
        <w:t>除上述第（2）、（10）、（11）、（12）项另有约定及法律法规另有规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2169D4" w:rsidRDefault="0026776B">
      <w:pPr>
        <w:spacing w:line="360" w:lineRule="auto"/>
        <w:ind w:firstLine="480"/>
        <w:rPr>
          <w:rFonts w:ascii="宋体" w:hAnsi="宋体"/>
          <w:bCs/>
          <w:sz w:val="24"/>
          <w:lang w:eastAsia="zh-CN"/>
        </w:rPr>
      </w:pPr>
      <w:r>
        <w:rPr>
          <w:rFonts w:ascii="宋体" w:hAnsi="宋体"/>
          <w:bCs/>
          <w:sz w:val="24"/>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169D4" w:rsidRDefault="0026776B">
      <w:pPr>
        <w:spacing w:line="360" w:lineRule="auto"/>
        <w:ind w:firstLine="480"/>
        <w:rPr>
          <w:rFonts w:ascii="宋体" w:hAnsi="宋体"/>
          <w:bCs/>
          <w:sz w:val="24"/>
          <w:lang w:eastAsia="zh-CN"/>
        </w:rPr>
      </w:pPr>
      <w:r>
        <w:rPr>
          <w:rFonts w:ascii="宋体" w:hAnsi="宋体"/>
          <w:bCs/>
          <w:sz w:val="24"/>
          <w:lang w:eastAsia="zh-CN"/>
        </w:rPr>
        <w:t>如法律、行政法规或监管部门取消或调整上述禁止规定，如适用于本基金，则在履行适当程序后，本基金投资不再受相关限制或按照调整后的规定执行。</w:t>
      </w:r>
    </w:p>
    <w:p w:rsidR="002169D4" w:rsidRDefault="0026776B">
      <w:pPr>
        <w:spacing w:line="360" w:lineRule="auto"/>
        <w:ind w:firstLine="480"/>
        <w:rPr>
          <w:rFonts w:ascii="宋体" w:hAnsi="宋体"/>
          <w:bCs/>
          <w:sz w:val="24"/>
          <w:lang w:eastAsia="zh-CN"/>
        </w:rPr>
      </w:pPr>
      <w:r>
        <w:rPr>
          <w:rFonts w:ascii="宋体" w:hAnsi="宋体"/>
          <w:bCs/>
          <w:sz w:val="24"/>
          <w:lang w:eastAsia="zh-CN"/>
        </w:rPr>
        <w:t>基金托管人依照上述规定对本基金的投资组合限制及调整期限进行监督。</w:t>
      </w:r>
    </w:p>
    <w:p w:rsidR="002169D4" w:rsidRDefault="0026776B">
      <w:pPr>
        <w:spacing w:before="156" w:after="156" w:line="360" w:lineRule="auto"/>
        <w:ind w:firstLine="482"/>
        <w:rPr>
          <w:rFonts w:ascii="宋体"/>
          <w:b/>
          <w:bCs/>
          <w:sz w:val="24"/>
          <w:lang w:eastAsia="zh-CN"/>
        </w:rPr>
      </w:pPr>
      <w:r>
        <w:rPr>
          <w:rFonts w:ascii="宋体" w:hAnsi="宋体"/>
          <w:b/>
          <w:bCs/>
          <w:sz w:val="24"/>
          <w:lang w:eastAsia="zh-CN"/>
        </w:rPr>
        <w:t>3.基金托管人</w:t>
      </w:r>
      <w:bookmarkStart w:id="24" w:name="OLE_LINK1"/>
      <w:r>
        <w:rPr>
          <w:rFonts w:ascii="宋体" w:hAnsi="宋体"/>
          <w:b/>
          <w:bCs/>
          <w:sz w:val="24"/>
          <w:lang w:eastAsia="zh-CN"/>
        </w:rPr>
        <w:t>根据有关法律法规的规定及基金合同和本协议的约定，</w:t>
      </w:r>
      <w:bookmarkEnd w:id="24"/>
      <w:r>
        <w:rPr>
          <w:rFonts w:ascii="宋体" w:hAnsi="宋体"/>
          <w:b/>
          <w:bCs/>
          <w:sz w:val="24"/>
          <w:lang w:eastAsia="zh-CN"/>
        </w:rPr>
        <w:t>对基金投资禁止行为进行监督。基金财产不得用于下列投资或者活动。</w:t>
      </w:r>
    </w:p>
    <w:p w:rsidR="002169D4" w:rsidRDefault="0026776B">
      <w:pPr>
        <w:spacing w:line="360" w:lineRule="auto"/>
        <w:ind w:firstLine="480"/>
        <w:rPr>
          <w:rFonts w:ascii="宋体" w:hAnsi="宋体"/>
          <w:bCs/>
          <w:sz w:val="24"/>
          <w:lang w:eastAsia="zh-CN"/>
        </w:rPr>
      </w:pPr>
      <w:r>
        <w:rPr>
          <w:rFonts w:ascii="宋体" w:hAnsi="宋体"/>
          <w:bCs/>
          <w:sz w:val="24"/>
          <w:lang w:eastAsia="zh-CN"/>
        </w:rPr>
        <w:t>（1）承销证券；</w:t>
      </w:r>
    </w:p>
    <w:p w:rsidR="002169D4" w:rsidRDefault="0026776B">
      <w:pPr>
        <w:spacing w:line="360" w:lineRule="auto"/>
        <w:ind w:firstLine="480"/>
        <w:rPr>
          <w:rFonts w:ascii="宋体" w:hAnsi="宋体"/>
          <w:bCs/>
          <w:sz w:val="24"/>
          <w:lang w:eastAsia="zh-CN"/>
        </w:rPr>
      </w:pPr>
      <w:r>
        <w:rPr>
          <w:rFonts w:ascii="宋体" w:hAnsi="宋体"/>
          <w:bCs/>
          <w:sz w:val="24"/>
          <w:lang w:eastAsia="zh-CN"/>
        </w:rPr>
        <w:t>（2）违反规定向他人贷款或者提供担保；</w:t>
      </w:r>
    </w:p>
    <w:p w:rsidR="002169D4" w:rsidRDefault="0026776B">
      <w:pPr>
        <w:spacing w:line="360" w:lineRule="auto"/>
        <w:ind w:firstLine="480"/>
        <w:rPr>
          <w:rFonts w:ascii="宋体" w:hAnsi="宋体"/>
          <w:bCs/>
          <w:sz w:val="24"/>
          <w:lang w:eastAsia="zh-CN"/>
        </w:rPr>
      </w:pPr>
      <w:r>
        <w:rPr>
          <w:rFonts w:ascii="宋体" w:hAnsi="宋体"/>
          <w:bCs/>
          <w:sz w:val="24"/>
          <w:lang w:eastAsia="zh-CN"/>
        </w:rPr>
        <w:t>（3）从事承担无限责任的投资；</w:t>
      </w:r>
    </w:p>
    <w:p w:rsidR="002169D4" w:rsidRDefault="0026776B">
      <w:pPr>
        <w:spacing w:line="360" w:lineRule="auto"/>
        <w:ind w:firstLine="480"/>
        <w:rPr>
          <w:rFonts w:ascii="宋体" w:hAnsi="宋体"/>
          <w:bCs/>
          <w:sz w:val="24"/>
          <w:lang w:eastAsia="zh-CN"/>
        </w:rPr>
      </w:pPr>
      <w:r>
        <w:rPr>
          <w:rFonts w:ascii="宋体" w:hAnsi="宋体"/>
          <w:bCs/>
          <w:sz w:val="24"/>
          <w:lang w:eastAsia="zh-CN"/>
        </w:rPr>
        <w:t>（4）买卖其他基金份额，但是中国证监会另有规定的除外；</w:t>
      </w:r>
    </w:p>
    <w:p w:rsidR="002169D4" w:rsidRDefault="0026776B">
      <w:pPr>
        <w:spacing w:line="360" w:lineRule="auto"/>
        <w:ind w:firstLine="480"/>
        <w:rPr>
          <w:rFonts w:ascii="宋体" w:hAnsi="宋体"/>
          <w:bCs/>
          <w:sz w:val="24"/>
          <w:lang w:eastAsia="zh-CN"/>
        </w:rPr>
      </w:pPr>
      <w:r>
        <w:rPr>
          <w:rFonts w:ascii="宋体" w:hAnsi="宋体"/>
          <w:bCs/>
          <w:sz w:val="24"/>
          <w:lang w:eastAsia="zh-CN"/>
        </w:rPr>
        <w:t>（5）向其基金管理人、基金托管人出资；</w:t>
      </w:r>
    </w:p>
    <w:p w:rsidR="002169D4" w:rsidRDefault="0026776B">
      <w:pPr>
        <w:spacing w:line="360" w:lineRule="auto"/>
        <w:ind w:firstLine="480"/>
        <w:rPr>
          <w:rFonts w:ascii="宋体" w:hAnsi="宋体"/>
          <w:bCs/>
          <w:sz w:val="24"/>
          <w:lang w:eastAsia="zh-CN"/>
        </w:rPr>
      </w:pPr>
      <w:r>
        <w:rPr>
          <w:rFonts w:ascii="宋体" w:hAnsi="宋体"/>
          <w:bCs/>
          <w:sz w:val="24"/>
          <w:lang w:eastAsia="zh-CN"/>
        </w:rPr>
        <w:t>（6）从事内幕交易、操纵证券交易价格及其他不正当的证券交易活动；</w:t>
      </w:r>
    </w:p>
    <w:p w:rsidR="002169D4" w:rsidRDefault="0026776B">
      <w:pPr>
        <w:spacing w:line="360" w:lineRule="auto"/>
        <w:ind w:firstLine="480"/>
        <w:rPr>
          <w:rFonts w:ascii="宋体" w:hAnsi="宋体"/>
          <w:bCs/>
          <w:sz w:val="24"/>
          <w:lang w:eastAsia="zh-CN"/>
        </w:rPr>
      </w:pPr>
      <w:r>
        <w:rPr>
          <w:rFonts w:ascii="宋体" w:hAnsi="宋体"/>
          <w:bCs/>
          <w:sz w:val="24"/>
          <w:lang w:eastAsia="zh-CN"/>
        </w:rPr>
        <w:t>（7）法律、行政法规和中国证监会规定禁止的其他活动。</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如法律</w:t>
      </w:r>
      <w:r>
        <w:rPr>
          <w:rFonts w:ascii="宋体" w:hAnsi="宋体"/>
          <w:bCs/>
          <w:sz w:val="24"/>
          <w:lang w:eastAsia="zh-CN"/>
        </w:rPr>
        <w:t>、行政</w:t>
      </w:r>
      <w:r>
        <w:rPr>
          <w:rFonts w:ascii="宋体" w:hAnsi="宋体"/>
          <w:sz w:val="24"/>
          <w:lang w:eastAsia="zh-CN"/>
        </w:rPr>
        <w:t>法规或监管部门取消</w:t>
      </w:r>
      <w:r>
        <w:rPr>
          <w:rFonts w:ascii="宋体" w:hAnsi="宋体"/>
          <w:bCs/>
          <w:sz w:val="24"/>
          <w:lang w:eastAsia="zh-CN"/>
        </w:rPr>
        <w:t>或调整</w:t>
      </w:r>
      <w:r>
        <w:rPr>
          <w:rFonts w:ascii="宋体" w:hAnsi="宋体"/>
          <w:sz w:val="24"/>
          <w:lang w:eastAsia="zh-CN"/>
        </w:rPr>
        <w:t>上述禁止性规定，</w:t>
      </w:r>
      <w:r>
        <w:rPr>
          <w:rFonts w:ascii="宋体" w:hAnsi="宋体"/>
          <w:bCs/>
          <w:sz w:val="24"/>
          <w:lang w:eastAsia="zh-CN"/>
        </w:rPr>
        <w:t>如适用于本</w:t>
      </w:r>
      <w:r>
        <w:rPr>
          <w:rFonts w:ascii="宋体" w:hAnsi="宋体"/>
          <w:sz w:val="24"/>
          <w:lang w:eastAsia="zh-CN"/>
        </w:rPr>
        <w:t>基金</w:t>
      </w:r>
      <w:r>
        <w:rPr>
          <w:rFonts w:ascii="宋体" w:hAnsi="宋体"/>
          <w:bCs/>
          <w:sz w:val="24"/>
          <w:lang w:eastAsia="zh-CN"/>
        </w:rPr>
        <w:t>，则</w:t>
      </w:r>
      <w:r>
        <w:rPr>
          <w:rFonts w:ascii="宋体" w:hAnsi="宋体"/>
          <w:sz w:val="24"/>
          <w:lang w:eastAsia="zh-CN"/>
        </w:rPr>
        <w:t>履行适当程序后</w:t>
      </w:r>
      <w:r>
        <w:rPr>
          <w:rFonts w:ascii="宋体" w:hAnsi="宋体"/>
          <w:bCs/>
          <w:sz w:val="24"/>
          <w:lang w:eastAsia="zh-CN"/>
        </w:rPr>
        <w:t>，本基金投资不再</w:t>
      </w:r>
      <w:r>
        <w:rPr>
          <w:rFonts w:ascii="宋体" w:hAnsi="宋体"/>
          <w:sz w:val="24"/>
          <w:lang w:eastAsia="zh-CN"/>
        </w:rPr>
        <w:t>受</w:t>
      </w:r>
      <w:r>
        <w:rPr>
          <w:rFonts w:ascii="宋体" w:hAnsi="宋体"/>
          <w:bCs/>
          <w:sz w:val="24"/>
          <w:lang w:eastAsia="zh-CN"/>
        </w:rPr>
        <w:t>相关限制或按调整后的规定执行</w:t>
      </w:r>
      <w:r>
        <w:rPr>
          <w:rFonts w:ascii="宋体" w:hAnsi="宋体"/>
          <w:sz w:val="24"/>
          <w:lang w:eastAsia="zh-CN"/>
        </w:rPr>
        <w:t>。</w:t>
      </w:r>
    </w:p>
    <w:p w:rsidR="002169D4" w:rsidRPr="002169D4" w:rsidRDefault="0026776B">
      <w:pPr>
        <w:tabs>
          <w:tab w:val="left" w:pos="3780"/>
        </w:tabs>
        <w:spacing w:before="156" w:after="156" w:line="360" w:lineRule="auto"/>
        <w:ind w:firstLine="354"/>
        <w:outlineLvl w:val="0"/>
        <w:rPr>
          <w:rFonts w:ascii="宋体" w:hAnsi="宋体"/>
          <w:b/>
          <w:bCs/>
          <w:sz w:val="24"/>
          <w:lang w:eastAsia="zh-CN"/>
        </w:rPr>
      </w:pPr>
      <w:bookmarkStart w:id="25" w:name="OLE_LINK2"/>
      <w:bookmarkStart w:id="26" w:name="OLE_LINK4"/>
      <w:r>
        <w:rPr>
          <w:rFonts w:ascii="宋体" w:hAnsi="宋体"/>
          <w:b/>
          <w:bCs/>
          <w:sz w:val="24"/>
          <w:lang w:eastAsia="zh-CN"/>
        </w:rPr>
        <w:t>4.基金托管人根据有关法律法规的规定及基金合同和本协议的约定，对基金管理人参与银行间债券市场进行监督。</w:t>
      </w:r>
    </w:p>
    <w:bookmarkEnd w:id="25"/>
    <w:bookmarkEnd w:id="26"/>
    <w:p w:rsidR="002169D4" w:rsidRDefault="0026776B">
      <w:pPr>
        <w:tabs>
          <w:tab w:val="num" w:pos="1260"/>
        </w:tabs>
        <w:spacing w:line="360" w:lineRule="auto"/>
        <w:ind w:firstLine="480"/>
        <w:rPr>
          <w:rFonts w:ascii="宋体"/>
          <w:sz w:val="24"/>
          <w:lang w:eastAsia="zh-CN"/>
        </w:rPr>
      </w:pPr>
      <w:r>
        <w:rPr>
          <w:rFonts w:ascii="宋体" w:hAnsi="宋体"/>
          <w:sz w:val="24"/>
          <w:lang w:eastAsia="zh-CN"/>
        </w:rPr>
        <w:t>（1）基金托管人依据有关法律法规的规定和《基金合同》的约定对于基金管理人参与银行间市场交易时面临的交易对手资信风险进行监督。</w:t>
      </w:r>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基金管理人应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（2）基金管理人参与银行间市场交易时，有责任控制交易对手的资信风险，由于交易对手资信风险引起的损失</w:t>
      </w:r>
      <w:r>
        <w:rPr>
          <w:rFonts w:ascii="宋体"/>
          <w:sz w:val="24"/>
          <w:lang w:eastAsia="zh-CN"/>
        </w:rPr>
        <w:t>,</w:t>
      </w:r>
      <w:r>
        <w:rPr>
          <w:rFonts w:ascii="宋体" w:hAnsi="宋体"/>
          <w:sz w:val="24"/>
          <w:lang w:eastAsia="zh-CN"/>
        </w:rPr>
        <w:t>基金管理人应当负责向相关责任人追偿。</w:t>
      </w:r>
    </w:p>
    <w:p w:rsidR="002169D4" w:rsidRPr="002169D4" w:rsidRDefault="0026776B">
      <w:pPr>
        <w:tabs>
          <w:tab w:val="left" w:pos="3780"/>
        </w:tabs>
        <w:spacing w:before="156" w:after="156" w:line="360" w:lineRule="auto"/>
        <w:ind w:firstLine="354"/>
        <w:outlineLvl w:val="0"/>
        <w:rPr>
          <w:rFonts w:ascii="宋体" w:hAnsi="宋体"/>
          <w:b/>
          <w:bCs/>
          <w:sz w:val="24"/>
          <w:lang w:eastAsia="zh-CN"/>
        </w:rPr>
      </w:pPr>
      <w:r>
        <w:rPr>
          <w:rFonts w:ascii="宋体" w:hAnsi="宋体"/>
          <w:b/>
          <w:bCs/>
          <w:sz w:val="24"/>
          <w:lang w:eastAsia="zh-CN"/>
        </w:rPr>
        <w:t>5.基金托管人根据有关法律法规的规定及基金合同和本协议的约定，对基金管理人银行存款业务进行监督。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本基金投资银行存款应符合如下规定：</w:t>
      </w:r>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（1）基金管理人、基金托管人应当与存款银行建立对账机制，确保基金银行存款业务账目及核算的真实、准确。</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lastRenderedPageBreak/>
        <w:t>（2）基金管理人与基金托管人应根据相关规定，就本基金银行存款业务另行签订书面协议，明确双方在相关协议签署、账户开设与管理、投资指令传达与执行、资金划拨、账目核对、到期兑付，以及存款证实书的开立、传递、保管等流程中的权利、义务和职责，以确保基金财产的安全，保护基金份额持有人的合法权益。</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（3）基金托管人应加强对基金银行存款业务的监督与核查，严格审查、复核相关协议、账户资料、投资指令、存款证实书等有关文件，切实履行托管职责。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（4）基金管理人与基金托管人在开展基金存款业务时，应严格遵守《基金法》、《运作办法》等有关法律法规，以及国家有关账户管理、利率管理、支付结算等的各项规定。</w:t>
      </w:r>
    </w:p>
    <w:p w:rsidR="002169D4" w:rsidRPr="002169D4" w:rsidRDefault="001F1C51">
      <w:pPr>
        <w:tabs>
          <w:tab w:val="left" w:pos="3780"/>
        </w:tabs>
        <w:spacing w:before="156" w:after="156" w:line="360" w:lineRule="auto"/>
        <w:ind w:firstLine="354"/>
        <w:outlineLvl w:val="0"/>
        <w:rPr>
          <w:rFonts w:ascii="宋体" w:hAnsi="宋体"/>
          <w:b/>
          <w:bCs/>
          <w:sz w:val="24"/>
          <w:lang w:eastAsia="zh-CN"/>
        </w:rPr>
      </w:pPr>
      <w:r w:rsidRPr="001F1C51">
        <w:rPr>
          <w:rFonts w:ascii="宋体" w:hAnsi="宋体"/>
          <w:b/>
          <w:bCs/>
          <w:sz w:val="24"/>
          <w:lang w:eastAsia="zh-CN"/>
        </w:rPr>
        <w:t>6.</w:t>
      </w:r>
      <w:r w:rsidRPr="001F1C51">
        <w:rPr>
          <w:rFonts w:ascii="宋体" w:hAnsi="宋体" w:hint="eastAsia"/>
          <w:b/>
          <w:bCs/>
          <w:sz w:val="24"/>
          <w:lang w:eastAsia="zh-CN"/>
        </w:rPr>
        <w:t>基金托管人对基金投资流通受限证券的监督。</w:t>
      </w:r>
    </w:p>
    <w:p w:rsidR="002169D4" w:rsidRDefault="0026776B">
      <w:pPr>
        <w:spacing w:before="156" w:line="360" w:lineRule="auto"/>
        <w:ind w:left="105" w:firstLine="480"/>
        <w:rPr>
          <w:rFonts w:ascii="宋体"/>
          <w:color w:val="000000"/>
          <w:sz w:val="24"/>
          <w:lang w:eastAsia="zh-CN"/>
        </w:rPr>
      </w:pPr>
      <w:r>
        <w:rPr>
          <w:rFonts w:ascii="宋体" w:hAnsi="宋体"/>
          <w:color w:val="000000"/>
          <w:sz w:val="24"/>
          <w:lang w:eastAsia="zh-CN"/>
        </w:rPr>
        <w:t>（1）基金投资流通受限证券</w:t>
      </w:r>
      <w:r>
        <w:rPr>
          <w:rFonts w:ascii="宋体"/>
          <w:color w:val="000000"/>
          <w:sz w:val="24"/>
          <w:lang w:eastAsia="zh-CN"/>
        </w:rPr>
        <w:t>,</w:t>
      </w:r>
      <w:r>
        <w:rPr>
          <w:rFonts w:ascii="宋体" w:hAnsi="宋体"/>
          <w:color w:val="000000"/>
          <w:sz w:val="24"/>
          <w:lang w:eastAsia="zh-CN"/>
        </w:rPr>
        <w:t>应遵守《关于基金投资非公开发行股票等流通受限证券有关问题的通知》等有关法律法规规定。</w:t>
      </w:r>
    </w:p>
    <w:p w:rsidR="002169D4" w:rsidRDefault="0026776B">
      <w:pPr>
        <w:spacing w:before="156" w:line="360" w:lineRule="auto"/>
        <w:ind w:left="105" w:firstLine="480"/>
        <w:rPr>
          <w:sz w:val="24"/>
          <w:lang w:eastAsia="zh-CN"/>
        </w:rPr>
      </w:pPr>
      <w:r>
        <w:rPr>
          <w:rFonts w:ascii="宋体" w:hAnsi="宋体"/>
          <w:color w:val="000000"/>
          <w:sz w:val="24"/>
          <w:lang w:eastAsia="zh-CN"/>
        </w:rPr>
        <w:t>（2）此处的流通受限证券与上文提及的流动性受限资产并不完全一致</w:t>
      </w:r>
      <w:r>
        <w:rPr>
          <w:rFonts w:ascii="宋体"/>
          <w:color w:val="000000"/>
          <w:sz w:val="24"/>
          <w:lang w:eastAsia="zh-CN"/>
        </w:rPr>
        <w:t>,</w:t>
      </w:r>
      <w:r>
        <w:rPr>
          <w:rFonts w:ascii="宋体" w:hAnsi="宋体"/>
          <w:color w:val="000000"/>
          <w:sz w:val="24"/>
          <w:lang w:eastAsia="zh-CN"/>
        </w:rPr>
        <w:t>包括由《上市公司证券发行管理办法》规范的非公开发行股票、公开发行股票网下配售部分等在发行时明确一定期限锁定期的可交易证券</w:t>
      </w:r>
      <w:r>
        <w:rPr>
          <w:rFonts w:ascii="宋体"/>
          <w:color w:val="000000"/>
          <w:sz w:val="24"/>
          <w:lang w:eastAsia="zh-CN"/>
        </w:rPr>
        <w:t>,</w:t>
      </w:r>
      <w:r>
        <w:rPr>
          <w:rFonts w:ascii="宋体" w:hAnsi="宋体"/>
          <w:color w:val="000000"/>
          <w:sz w:val="24"/>
          <w:lang w:eastAsia="zh-CN"/>
        </w:rPr>
        <w:t>不包括由于发布重大消息或其他原因而临时停牌的证券、已发行未上市证券、回购交易中的质押券等流通受限证券。</w:t>
      </w:r>
      <w:r>
        <w:rPr>
          <w:rFonts w:ascii="宋体"/>
          <w:color w:val="000000"/>
          <w:sz w:val="24"/>
          <w:lang w:eastAsia="zh-CN"/>
        </w:rPr>
        <w:t> </w:t>
      </w:r>
    </w:p>
    <w:p w:rsidR="002169D4" w:rsidRDefault="0026776B">
      <w:pPr>
        <w:spacing w:before="156" w:line="360" w:lineRule="auto"/>
        <w:ind w:firstLine="480"/>
        <w:rPr>
          <w:sz w:val="24"/>
          <w:lang w:eastAsia="zh-CN"/>
        </w:rPr>
      </w:pPr>
      <w:r>
        <w:rPr>
          <w:rFonts w:ascii="宋体" w:hAnsi="宋体"/>
          <w:color w:val="000000"/>
          <w:sz w:val="24"/>
          <w:lang w:eastAsia="zh-CN"/>
        </w:rPr>
        <w:t>（3）基金管理人应在基金首次投资流通受限证券前</w:t>
      </w:r>
      <w:r>
        <w:rPr>
          <w:rFonts w:ascii="宋体"/>
          <w:color w:val="000000"/>
          <w:sz w:val="24"/>
          <w:lang w:eastAsia="zh-CN"/>
        </w:rPr>
        <w:t>,</w:t>
      </w:r>
      <w:r>
        <w:rPr>
          <w:rFonts w:ascii="宋体" w:hAnsi="宋体"/>
          <w:color w:val="000000"/>
          <w:sz w:val="24"/>
          <w:lang w:eastAsia="zh-CN"/>
        </w:rPr>
        <w:t>向基金托管人提供经基金管理人董事会批准的有关基金投资流通受限证券的投资决策流程、风险控制制度。基金投资非公开发行股票</w:t>
      </w:r>
      <w:r>
        <w:rPr>
          <w:rFonts w:ascii="宋体"/>
          <w:color w:val="000000"/>
          <w:sz w:val="24"/>
          <w:lang w:eastAsia="zh-CN"/>
        </w:rPr>
        <w:t>,</w:t>
      </w:r>
      <w:r>
        <w:rPr>
          <w:rFonts w:ascii="宋体" w:hAnsi="宋体"/>
          <w:color w:val="000000"/>
          <w:sz w:val="24"/>
          <w:lang w:eastAsia="zh-CN"/>
        </w:rPr>
        <w:t>基金管理人还应提供基金管理人董事会批准的流动性风险处置预案。上述资料应包括但不限于基金投资流通受限证券的投资额度和投资比例控制情况。</w:t>
      </w:r>
      <w:r>
        <w:rPr>
          <w:rFonts w:ascii="宋体"/>
          <w:color w:val="000000"/>
          <w:sz w:val="24"/>
          <w:lang w:eastAsia="zh-CN"/>
        </w:rPr>
        <w:t> </w:t>
      </w:r>
      <w:r>
        <w:rPr>
          <w:rFonts w:ascii="宋体" w:hAnsi="宋体"/>
          <w:color w:val="000000"/>
          <w:sz w:val="24"/>
          <w:lang w:eastAsia="zh-CN"/>
        </w:rPr>
        <w:t>基金管理人应至少于首次执行投资指令之前两个工作日将上述资料书面发至基金托管人</w:t>
      </w:r>
      <w:r>
        <w:rPr>
          <w:rFonts w:ascii="宋体"/>
          <w:color w:val="000000"/>
          <w:sz w:val="24"/>
          <w:lang w:eastAsia="zh-CN"/>
        </w:rPr>
        <w:t>,</w:t>
      </w:r>
      <w:r>
        <w:rPr>
          <w:rFonts w:ascii="宋体" w:hAnsi="宋体"/>
          <w:color w:val="000000"/>
          <w:sz w:val="24"/>
          <w:lang w:eastAsia="zh-CN"/>
        </w:rPr>
        <w:t>保证基金托管人有足够的时间进行审核。基金托管人应在收到上述资料后两个工作日内</w:t>
      </w:r>
      <w:r>
        <w:rPr>
          <w:rFonts w:ascii="宋体"/>
          <w:color w:val="000000"/>
          <w:sz w:val="24"/>
          <w:lang w:eastAsia="zh-CN"/>
        </w:rPr>
        <w:t>,</w:t>
      </w:r>
      <w:r>
        <w:rPr>
          <w:rFonts w:ascii="宋体" w:hAnsi="宋体"/>
          <w:color w:val="000000"/>
          <w:sz w:val="24"/>
          <w:lang w:eastAsia="zh-CN"/>
        </w:rPr>
        <w:t xml:space="preserve">以书面或其他双方认可的方式确认收到上述资料。 </w:t>
      </w:r>
    </w:p>
    <w:p w:rsidR="002169D4" w:rsidRDefault="0026776B">
      <w:pPr>
        <w:spacing w:before="156" w:line="360" w:lineRule="auto"/>
        <w:ind w:left="105" w:firstLine="480"/>
        <w:rPr>
          <w:sz w:val="24"/>
          <w:lang w:eastAsia="zh-CN"/>
        </w:rPr>
      </w:pPr>
      <w:r>
        <w:rPr>
          <w:rFonts w:ascii="宋体" w:hAnsi="宋体"/>
          <w:color w:val="000000"/>
          <w:sz w:val="24"/>
          <w:lang w:eastAsia="zh-CN"/>
        </w:rPr>
        <w:lastRenderedPageBreak/>
        <w:t>（4）基金投资流通受限证券前</w:t>
      </w:r>
      <w:r>
        <w:rPr>
          <w:rFonts w:ascii="宋体"/>
          <w:color w:val="000000"/>
          <w:sz w:val="24"/>
          <w:lang w:eastAsia="zh-CN"/>
        </w:rPr>
        <w:t>,</w:t>
      </w:r>
      <w:r>
        <w:rPr>
          <w:rFonts w:ascii="宋体" w:hAnsi="宋体"/>
          <w:color w:val="000000"/>
          <w:sz w:val="24"/>
          <w:lang w:eastAsia="zh-CN"/>
        </w:rPr>
        <w:t>基金管理人应向基金托管人提供符合法律法规要求的有关书面信息</w:t>
      </w:r>
      <w:r>
        <w:rPr>
          <w:rFonts w:ascii="宋体"/>
          <w:color w:val="000000"/>
          <w:sz w:val="24"/>
          <w:lang w:eastAsia="zh-CN"/>
        </w:rPr>
        <w:t>,</w:t>
      </w:r>
      <w:r>
        <w:rPr>
          <w:rFonts w:ascii="宋体" w:hAnsi="宋体"/>
          <w:color w:val="000000"/>
          <w:sz w:val="24"/>
          <w:lang w:eastAsia="zh-CN"/>
        </w:rPr>
        <w:t>包括但不限于拟发行证券主体的中国证监会批准文件、发行证券数量、发行价格、锁定期</w:t>
      </w:r>
      <w:r>
        <w:rPr>
          <w:rFonts w:ascii="宋体"/>
          <w:color w:val="000000"/>
          <w:sz w:val="24"/>
          <w:lang w:eastAsia="zh-CN"/>
        </w:rPr>
        <w:t>,</w:t>
      </w:r>
      <w:r>
        <w:rPr>
          <w:rFonts w:ascii="宋体" w:hAnsi="宋体"/>
          <w:color w:val="000000"/>
          <w:sz w:val="24"/>
          <w:lang w:eastAsia="zh-CN"/>
        </w:rPr>
        <w:t>基金拟认购的数量、价格、总成本、总成本占基金资产净值的比例、已持有流通受限证券市值占资产净值的比例、资金划付时间等。基金管理人应保证上述信息的真实、完整</w:t>
      </w:r>
      <w:r>
        <w:rPr>
          <w:rFonts w:ascii="宋体"/>
          <w:color w:val="000000"/>
          <w:sz w:val="24"/>
          <w:lang w:eastAsia="zh-CN"/>
        </w:rPr>
        <w:t>,</w:t>
      </w:r>
      <w:r>
        <w:rPr>
          <w:rFonts w:ascii="宋体" w:hAnsi="宋体"/>
          <w:color w:val="000000"/>
          <w:sz w:val="24"/>
          <w:lang w:eastAsia="zh-CN"/>
        </w:rPr>
        <w:t>并应至少于拟执行投资指令前两个工作日将上述信息书面发至基金托管人</w:t>
      </w:r>
      <w:r>
        <w:rPr>
          <w:rFonts w:ascii="宋体"/>
          <w:color w:val="000000"/>
          <w:sz w:val="24"/>
          <w:lang w:eastAsia="zh-CN"/>
        </w:rPr>
        <w:t>,</w:t>
      </w:r>
      <w:r>
        <w:rPr>
          <w:rFonts w:ascii="宋体" w:hAnsi="宋体"/>
          <w:color w:val="000000"/>
          <w:sz w:val="24"/>
          <w:lang w:eastAsia="zh-CN"/>
        </w:rPr>
        <w:t>保证基金托管人有足够的时间进行审核。</w:t>
      </w:r>
    </w:p>
    <w:p w:rsidR="002169D4" w:rsidRDefault="0026776B">
      <w:pPr>
        <w:spacing w:before="156" w:line="360" w:lineRule="auto"/>
        <w:ind w:left="105" w:firstLine="480"/>
        <w:rPr>
          <w:sz w:val="24"/>
          <w:lang w:eastAsia="zh-CN"/>
        </w:rPr>
      </w:pPr>
      <w:r>
        <w:rPr>
          <w:rFonts w:ascii="宋体" w:hAnsi="宋体"/>
          <w:color w:val="000000"/>
          <w:sz w:val="24"/>
          <w:lang w:eastAsia="zh-CN"/>
        </w:rPr>
        <w:t>（5）基金托管人应对基金管理人提供的有关书面信息进行审核，基金托管人认为上述资料可能导致基金投资出现风险的</w:t>
      </w:r>
      <w:r>
        <w:rPr>
          <w:rFonts w:ascii="宋体"/>
          <w:color w:val="000000"/>
          <w:sz w:val="24"/>
          <w:lang w:eastAsia="zh-CN"/>
        </w:rPr>
        <w:t>,</w:t>
      </w:r>
      <w:r>
        <w:rPr>
          <w:rFonts w:ascii="宋体" w:hAnsi="宋体"/>
          <w:color w:val="000000"/>
          <w:sz w:val="24"/>
          <w:lang w:eastAsia="zh-CN"/>
        </w:rPr>
        <w:t>有权要求基金管理人在投资流通受限证券前就该风险的消除或防范措施进行补充书面说明</w:t>
      </w:r>
      <w:r>
        <w:rPr>
          <w:rFonts w:ascii="宋体"/>
          <w:color w:val="000000"/>
          <w:sz w:val="24"/>
          <w:lang w:eastAsia="zh-CN"/>
        </w:rPr>
        <w:t>,</w:t>
      </w:r>
      <w:r>
        <w:rPr>
          <w:rFonts w:ascii="宋体" w:hAnsi="宋体"/>
          <w:color w:val="000000"/>
          <w:sz w:val="24"/>
          <w:lang w:eastAsia="zh-CN"/>
        </w:rPr>
        <w:t>并保留查看基金管理人风险管理部门就基金投资流通受限证券出具的风险评估报告等备查资料的权利。否则</w:t>
      </w:r>
      <w:r>
        <w:rPr>
          <w:rFonts w:ascii="宋体"/>
          <w:color w:val="000000"/>
          <w:sz w:val="24"/>
          <w:lang w:eastAsia="zh-CN"/>
        </w:rPr>
        <w:t>,</w:t>
      </w:r>
      <w:r>
        <w:rPr>
          <w:rFonts w:ascii="宋体" w:hAnsi="宋体"/>
          <w:color w:val="000000"/>
          <w:sz w:val="24"/>
          <w:lang w:eastAsia="zh-CN"/>
        </w:rPr>
        <w:t>基金托管人有权拒绝执行有关指令。因拒绝执行该指令造成基金财产损失的</w:t>
      </w:r>
      <w:r>
        <w:rPr>
          <w:rFonts w:ascii="宋体"/>
          <w:color w:val="000000"/>
          <w:sz w:val="24"/>
          <w:lang w:eastAsia="zh-CN"/>
        </w:rPr>
        <w:t>,</w:t>
      </w:r>
      <w:r>
        <w:rPr>
          <w:rFonts w:ascii="宋体" w:hAnsi="宋体"/>
          <w:color w:val="000000"/>
          <w:sz w:val="24"/>
          <w:lang w:eastAsia="zh-CN"/>
        </w:rPr>
        <w:t>基金托管人不承担任何责任</w:t>
      </w:r>
      <w:r>
        <w:rPr>
          <w:rFonts w:ascii="宋体"/>
          <w:color w:val="000000"/>
          <w:sz w:val="24"/>
          <w:lang w:eastAsia="zh-CN"/>
        </w:rPr>
        <w:t>,</w:t>
      </w:r>
      <w:r>
        <w:rPr>
          <w:rFonts w:ascii="宋体" w:hAnsi="宋体"/>
          <w:color w:val="000000"/>
          <w:sz w:val="24"/>
          <w:lang w:eastAsia="zh-CN"/>
        </w:rPr>
        <w:t>并有权报告中国证监会。</w:t>
      </w:r>
      <w:r>
        <w:rPr>
          <w:rFonts w:ascii="宋体"/>
          <w:color w:val="000000"/>
          <w:sz w:val="24"/>
          <w:lang w:eastAsia="zh-CN"/>
        </w:rPr>
        <w:t> </w:t>
      </w:r>
    </w:p>
    <w:p w:rsidR="002169D4" w:rsidRDefault="0026776B">
      <w:pPr>
        <w:tabs>
          <w:tab w:val="num" w:pos="1260"/>
        </w:tabs>
        <w:spacing w:before="156" w:line="360" w:lineRule="auto"/>
        <w:ind w:firstLine="480"/>
        <w:rPr>
          <w:rFonts w:ascii="宋体"/>
          <w:b/>
          <w:sz w:val="24"/>
          <w:lang w:eastAsia="zh-CN"/>
        </w:rPr>
      </w:pPr>
      <w:r>
        <w:rPr>
          <w:rFonts w:ascii="宋体" w:hAnsi="宋体"/>
          <w:color w:val="000000"/>
          <w:sz w:val="24"/>
          <w:lang w:eastAsia="zh-CN"/>
        </w:rPr>
        <w:t>如基金管理人和基金托管人无法达成一致</w:t>
      </w:r>
      <w:r>
        <w:rPr>
          <w:rFonts w:ascii="宋体"/>
          <w:color w:val="000000"/>
          <w:sz w:val="24"/>
          <w:lang w:eastAsia="zh-CN"/>
        </w:rPr>
        <w:t>,</w:t>
      </w:r>
      <w:r>
        <w:rPr>
          <w:rFonts w:ascii="宋体" w:hAnsi="宋体"/>
          <w:color w:val="000000"/>
          <w:sz w:val="24"/>
          <w:lang w:eastAsia="zh-CN"/>
        </w:rPr>
        <w:t>应及时上报中国证监会请求解决。如果基金托管人切实履行监督职责</w:t>
      </w:r>
      <w:r>
        <w:rPr>
          <w:rFonts w:ascii="宋体"/>
          <w:color w:val="000000"/>
          <w:sz w:val="24"/>
          <w:lang w:eastAsia="zh-CN"/>
        </w:rPr>
        <w:t>,</w:t>
      </w:r>
      <w:r>
        <w:rPr>
          <w:rFonts w:ascii="宋体" w:hAnsi="宋体"/>
          <w:color w:val="000000"/>
          <w:sz w:val="24"/>
          <w:lang w:eastAsia="zh-CN"/>
        </w:rPr>
        <w:t>则不承担任何责任。</w:t>
      </w:r>
    </w:p>
    <w:p w:rsidR="002169D4" w:rsidRDefault="0026776B">
      <w:pPr>
        <w:tabs>
          <w:tab w:val="left" w:pos="3780"/>
        </w:tabs>
        <w:spacing w:before="156" w:after="156" w:line="360" w:lineRule="auto"/>
        <w:ind w:firstLine="354"/>
        <w:outlineLvl w:val="0"/>
        <w:rPr>
          <w:rFonts w:ascii="宋体" w:hAnsi="宋体"/>
          <w:b/>
          <w:bCs/>
          <w:sz w:val="24"/>
          <w:lang w:eastAsia="zh-CN"/>
        </w:rPr>
      </w:pPr>
      <w:r>
        <w:rPr>
          <w:rFonts w:ascii="宋体" w:hAnsi="宋体"/>
          <w:b/>
          <w:bCs/>
          <w:sz w:val="24"/>
          <w:lang w:eastAsia="zh-CN"/>
        </w:rPr>
        <w:t>7.基金托管人根据法律法规的规定及《基金合同》和本协议的约定，对基金投资其他方面进行监督。</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托管人应根据有关法律法规的规定及《基金合同》的约定，对基金资产净值计算、各类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lastRenderedPageBreak/>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基金托管人发现基金管理人有重大违规行为，应立即报告中国证监会，同时通知基金管理人在限期内纠正。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基金托管人发现基金管理人的指令违反法律、行政法规和其他有关规定，或者违反《基金合同》约定的，应当拒绝执行，立即通知基金管理人，并有权向中国证监会报告。</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基金托管人发现基金管理人依据交易程序已经生效的指令违反法律、行政法规和其他有关规定，或者违反《基金合同》约定的，应当立即通知基金管理人，并有权向中国证监会报告。</w:t>
      </w:r>
      <w:bookmarkStart w:id="27" w:name="_Toc125892440"/>
    </w:p>
    <w:p w:rsidR="002169D4" w:rsidRDefault="0026776B">
      <w:pPr>
        <w:pStyle w:val="1"/>
        <w:rPr>
          <w:lang w:eastAsia="zh-CN"/>
        </w:rPr>
      </w:pPr>
      <w:bookmarkStart w:id="28" w:name="_Toc291504132"/>
      <w:r>
        <w:rPr>
          <w:lang w:eastAsia="zh-CN"/>
        </w:rPr>
        <w:t>四、基金管理人对基金托管人的业务核查</w:t>
      </w:r>
      <w:bookmarkEnd w:id="27"/>
      <w:bookmarkEnd w:id="28"/>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根据《基金法》及其他有关法规、《基金合同》和本协议规定，基金管理人对基金托管人履行托管职责的情况进行核查，核查事项包括但不限于基金托管人是否安全保管基金财产、开立基金财产的资金账户、证券账户及债券托管账户等投资所需账户，是否及时、准确复核基金管理人计算的基金资产净值和各类基金份额净值，是否根据基金管理人指令办理清算交收，是否按照法规规定和《基金合同》规定进行相关信息披露和监督基金投资运作等行为。</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w:t>
      </w:r>
      <w:r>
        <w:rPr>
          <w:rFonts w:ascii="宋体" w:hAnsi="宋体"/>
          <w:sz w:val="24"/>
          <w:lang w:eastAsia="zh-CN"/>
        </w:rPr>
        <w:lastRenderedPageBreak/>
        <w:t>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基金管理人发现基金托管人有重大违规行为，应立即报告中国证监会，同时通知基金托管人在限期内纠正。</w:t>
      </w:r>
    </w:p>
    <w:p w:rsidR="002169D4" w:rsidRDefault="0026776B">
      <w:pPr>
        <w:pStyle w:val="1"/>
        <w:rPr>
          <w:lang w:eastAsia="zh-CN"/>
        </w:rPr>
      </w:pPr>
      <w:bookmarkStart w:id="29" w:name="_Toc466788854"/>
      <w:bookmarkStart w:id="30" w:name="_Toc523829995"/>
      <w:bookmarkStart w:id="31" w:name="_Toc22454437"/>
      <w:bookmarkStart w:id="32" w:name="_Toc125892441"/>
      <w:bookmarkStart w:id="33" w:name="_Toc291504133"/>
      <w:r>
        <w:rPr>
          <w:lang w:eastAsia="zh-CN"/>
        </w:rPr>
        <w:t>五、基金财产的保管</w:t>
      </w:r>
      <w:bookmarkEnd w:id="29"/>
      <w:bookmarkEnd w:id="30"/>
      <w:bookmarkEnd w:id="31"/>
      <w:bookmarkEnd w:id="32"/>
      <w:bookmarkEnd w:id="33"/>
    </w:p>
    <w:p w:rsidR="002169D4" w:rsidRDefault="0026776B">
      <w:pPr>
        <w:tabs>
          <w:tab w:val="left" w:pos="3780"/>
        </w:tabs>
        <w:spacing w:before="156" w:after="156" w:line="360" w:lineRule="auto"/>
        <w:outlineLvl w:val="0"/>
        <w:rPr>
          <w:rFonts w:ascii="宋体"/>
          <w:b/>
          <w:bCs/>
          <w:sz w:val="24"/>
          <w:lang w:eastAsia="zh-CN"/>
        </w:rPr>
      </w:pPr>
      <w:bookmarkStart w:id="34" w:name="_Toc37159173"/>
      <w:bookmarkStart w:id="35" w:name="_Toc77662997"/>
      <w:r>
        <w:rPr>
          <w:rFonts w:ascii="宋体" w:hAnsi="宋体"/>
          <w:b/>
          <w:bCs/>
          <w:sz w:val="24"/>
          <w:lang w:eastAsia="zh-CN"/>
        </w:rPr>
        <w:t>（一）基金财产保管的原则</w:t>
      </w:r>
      <w:bookmarkEnd w:id="34"/>
      <w:bookmarkEnd w:id="35"/>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1.基金托管人应安全保管基金财产，未经基金管理人的指令，不得自行运用、处分、分配基金的任何资产，非因基金财产本身承担的债务，不得对基金财产强制执行。</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2.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3.基金托管人按照规定开立基金财产的银行存款账户、证券账户和债券托管账户等投资所需账户</w:t>
      </w:r>
      <w:r>
        <w:rPr>
          <w:spacing w:val="-4"/>
          <w:sz w:val="24"/>
          <w:lang w:eastAsia="zh-CN"/>
        </w:rPr>
        <w:t>，基金管理人和基金托管人按照规定</w:t>
      </w:r>
      <w:r>
        <w:rPr>
          <w:rFonts w:ascii="宋体" w:hAnsi="宋体"/>
          <w:sz w:val="24"/>
          <w:lang w:eastAsia="zh-CN"/>
        </w:rPr>
        <w:t>开立期货资金账户。</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4.基金托管人对所托管的不同基金财产分别设置账户，与基金托管人的其他业务和其他基金的托管业务实行严格的分账管理，独立核算，确保基金财产的完整和独立。</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36" w:name="_Toc37159174"/>
      <w:bookmarkStart w:id="37" w:name="_Toc77662998"/>
      <w:r>
        <w:rPr>
          <w:rFonts w:ascii="宋体" w:hAnsi="宋体"/>
          <w:sz w:val="24"/>
          <w:lang w:eastAsia="zh-CN"/>
        </w:rPr>
        <w:t>基金托管人对此不承担任何责任。</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（二）基金募集资产的验证</w:t>
      </w:r>
      <w:bookmarkEnd w:id="36"/>
      <w:bookmarkEnd w:id="37"/>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lastRenderedPageBreak/>
        <w:t>基金募集期满或基金提前结束募集之日起10日内，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bookmarkStart w:id="38" w:name="_Toc37159176"/>
      <w:bookmarkStart w:id="39" w:name="_Toc77663000"/>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（三）基金的银行存款账户的开立和管理</w:t>
      </w:r>
      <w:bookmarkEnd w:id="38"/>
      <w:bookmarkEnd w:id="39"/>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1.基金托管人应负责本基金银行存款账户的开立和管理。</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2.基金托管人以本基金的名义在其营业机构开立基金的银行存款账户，并根据基金管理人合法合规的指令办理资金收付。本基金的银行预留印鉴由基金托管人保管和使用。本基金的一切货币收支活动，包括但不限于投资、支付赎回金额、支付基金收益，均需通过本基金的银行存款账户进行。</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4.基金托管人可以通过申请开通本基金银行账户的企业网上银行业务进行资金支付，并使用交通银行企业网上银行（简称“交通银行网银”）办理托管资产的资金结算汇划业务。</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5.基金银行存款账户的管理应符合银行业监督管理机构的有关规定。</w:t>
      </w:r>
      <w:bookmarkStart w:id="40" w:name="_Toc37159177"/>
      <w:bookmarkStart w:id="41" w:name="_Toc77663001"/>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（四）基金证券交收账户、资金交收账户的开立和管理</w:t>
      </w:r>
      <w:bookmarkEnd w:id="40"/>
      <w:bookmarkEnd w:id="41"/>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基金托管人以基金托管人和本基金联名的方式在中国证券登记结算有限责任公司开立证券账户。</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基金证券账户的开立和使用，限于满足开展本基金业务的需要。基金托管人和基金管理人不得出借和未经对方同意擅自转让基金的任何证券账户；亦不得使用基金的任何账户进行本基金业务以外的活动。</w:t>
      </w:r>
      <w:r>
        <w:rPr>
          <w:rFonts w:ascii="宋体"/>
          <w:sz w:val="24"/>
          <w:lang w:eastAsia="zh-CN"/>
        </w:rPr>
        <w:t>基金证券账户资产的管理和运用由基金管理人负责。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基金管理人不得对基金证券交收账户、资金交收账户进行证券的超卖或超买。</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lastRenderedPageBreak/>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42" w:name="_Toc37159179"/>
      <w:bookmarkStart w:id="43" w:name="_Toc77663003"/>
    </w:p>
    <w:p w:rsidR="002169D4" w:rsidRDefault="0026776B">
      <w:pPr>
        <w:tabs>
          <w:tab w:val="left" w:pos="3780"/>
        </w:tabs>
        <w:spacing w:before="156" w:after="156" w:line="360" w:lineRule="auto"/>
        <w:outlineLvl w:val="0"/>
        <w:rPr>
          <w:rFonts w:ascii="宋体"/>
          <w:b/>
          <w:bCs/>
          <w:sz w:val="24"/>
          <w:lang w:eastAsia="zh-CN"/>
        </w:rPr>
      </w:pPr>
      <w:bookmarkStart w:id="44" w:name="_Toc466788855"/>
      <w:bookmarkStart w:id="45" w:name="_Toc523829996"/>
      <w:bookmarkStart w:id="46" w:name="_Toc125892442"/>
      <w:bookmarkStart w:id="47" w:name="_Toc291504134"/>
      <w:bookmarkEnd w:id="42"/>
      <w:bookmarkEnd w:id="43"/>
      <w:r>
        <w:rPr>
          <w:rFonts w:ascii="宋体" w:hAnsi="宋体"/>
          <w:b/>
          <w:bCs/>
          <w:sz w:val="24"/>
          <w:lang w:eastAsia="zh-CN"/>
        </w:rPr>
        <w:t>（五）债券托管账户的开立和管理</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1.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w:t>
      </w:r>
      <w:r>
        <w:rPr>
          <w:rFonts w:ascii="宋体" w:hAnsi="宋体"/>
          <w:sz w:val="24"/>
          <w:szCs w:val="21"/>
          <w:lang w:eastAsia="zh-CN"/>
        </w:rPr>
        <w:t>基金管理人负责申请基金进入全国银行间同业拆借市场进行交易，由基金管理人在中国外汇交易中心开设同业拆借市场交易</w:t>
      </w:r>
      <w:r>
        <w:rPr>
          <w:rFonts w:ascii="宋体" w:hAnsi="宋体"/>
          <w:sz w:val="24"/>
          <w:lang w:eastAsia="zh-CN"/>
        </w:rPr>
        <w:t>账户</w:t>
      </w:r>
      <w:r>
        <w:rPr>
          <w:rFonts w:ascii="宋体" w:hAnsi="宋体"/>
          <w:sz w:val="24"/>
          <w:szCs w:val="21"/>
          <w:lang w:eastAsia="zh-CN"/>
        </w:rPr>
        <w:t>。</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2.基金管理人代表基金签订全国银行间债券市场债券回购主协议，协议正本由基金管理人保存。</w:t>
      </w:r>
    </w:p>
    <w:p w:rsidR="002169D4" w:rsidRDefault="0026776B">
      <w:pPr>
        <w:tabs>
          <w:tab w:val="left" w:pos="3780"/>
        </w:tabs>
        <w:spacing w:before="156" w:after="156" w:line="360" w:lineRule="auto"/>
        <w:outlineLvl w:val="0"/>
        <w:rPr>
          <w:rFonts w:ascii="宋体" w:hAnsi="宋体"/>
          <w:b/>
          <w:bCs/>
          <w:sz w:val="24"/>
          <w:lang w:eastAsia="zh-CN"/>
        </w:rPr>
      </w:pPr>
      <w:r>
        <w:rPr>
          <w:rFonts w:ascii="宋体" w:hAnsi="宋体"/>
          <w:b/>
          <w:bCs/>
          <w:sz w:val="24"/>
          <w:lang w:eastAsia="zh-CN"/>
        </w:rPr>
        <w:t>（六）</w:t>
      </w:r>
      <w:bookmarkStart w:id="48" w:name="_Toc17996120"/>
      <w:r>
        <w:rPr>
          <w:rFonts w:ascii="宋体" w:hAnsi="宋体"/>
          <w:b/>
          <w:bCs/>
          <w:sz w:val="24"/>
          <w:lang w:eastAsia="zh-CN"/>
        </w:rPr>
        <w:t>期货相关账户的开立和管理</w:t>
      </w:r>
      <w:bookmarkEnd w:id="48"/>
    </w:p>
    <w:p w:rsidR="002169D4" w:rsidRDefault="0026776B">
      <w:pPr>
        <w:spacing w:line="360" w:lineRule="auto"/>
        <w:ind w:firstLine="480"/>
        <w:rPr>
          <w:rFonts w:ascii="宋体" w:hAnsi="宋体"/>
          <w:sz w:val="24"/>
          <w:lang w:eastAsia="zh-CN"/>
        </w:rPr>
      </w:pPr>
      <w:r>
        <w:rPr>
          <w:rFonts w:ascii="宋体" w:hAnsi="宋体"/>
          <w:sz w:val="24"/>
          <w:lang w:eastAsia="zh-CN"/>
        </w:rPr>
        <w:t>基金管理人、基金托管人应当按照相关规定开立期货资金账户，在中国金融期货交易所获取交易编码。期货资金账户名称及交易编码对应名称应按照有关规定设立。</w:t>
      </w:r>
    </w:p>
    <w:p w:rsidR="002169D4" w:rsidRDefault="0026776B">
      <w:pPr>
        <w:tabs>
          <w:tab w:val="num" w:pos="1260"/>
        </w:tabs>
        <w:spacing w:before="156" w:after="156" w:line="360" w:lineRule="auto"/>
        <w:ind w:firstLine="480"/>
        <w:rPr>
          <w:rFonts w:ascii="宋体" w:hAnsi="宋体"/>
          <w:sz w:val="24"/>
          <w:lang w:eastAsia="zh-CN"/>
        </w:rPr>
      </w:pPr>
      <w:r>
        <w:rPr>
          <w:rFonts w:ascii="宋体" w:hAnsi="宋体"/>
          <w:sz w:val="24"/>
          <w:lang w:eastAsia="zh-CN"/>
        </w:rPr>
        <w:t>基金托管人已取得期货保证金存管银行资格，基金管理人授权基金托管人办理相关银期转账业务。</w:t>
      </w:r>
    </w:p>
    <w:p w:rsidR="002169D4" w:rsidRDefault="0026776B">
      <w:pPr>
        <w:tabs>
          <w:tab w:val="left" w:pos="3780"/>
        </w:tabs>
        <w:spacing w:before="156" w:after="156" w:line="360" w:lineRule="auto"/>
        <w:outlineLvl w:val="0"/>
        <w:rPr>
          <w:rFonts w:ascii="宋体" w:hAnsi="宋体"/>
          <w:b/>
          <w:bCs/>
          <w:sz w:val="24"/>
          <w:lang w:eastAsia="zh-CN"/>
        </w:rPr>
      </w:pPr>
      <w:r>
        <w:rPr>
          <w:rFonts w:ascii="宋体" w:hAnsi="宋体"/>
          <w:b/>
          <w:bCs/>
          <w:sz w:val="24"/>
          <w:lang w:eastAsia="zh-CN"/>
        </w:rPr>
        <w:t>（七）</w:t>
      </w:r>
      <w:bookmarkStart w:id="49" w:name="_Toc17996121"/>
      <w:r>
        <w:rPr>
          <w:rFonts w:ascii="宋体" w:hAnsi="宋体"/>
          <w:b/>
          <w:bCs/>
          <w:sz w:val="24"/>
          <w:lang w:eastAsia="zh-CN"/>
        </w:rPr>
        <w:t>基金投资银行存款账户的开立和管理</w:t>
      </w:r>
      <w:bookmarkEnd w:id="49"/>
    </w:p>
    <w:p w:rsidR="002169D4" w:rsidRDefault="0026776B">
      <w:pPr>
        <w:spacing w:line="360" w:lineRule="auto"/>
        <w:ind w:firstLine="464"/>
        <w:rPr>
          <w:spacing w:val="-4"/>
          <w:sz w:val="24"/>
          <w:lang w:eastAsia="zh-CN"/>
        </w:rPr>
      </w:pPr>
      <w:r>
        <w:rPr>
          <w:spacing w:val="-4"/>
          <w:sz w:val="24"/>
          <w:lang w:eastAsia="zh-CN"/>
        </w:rPr>
        <w:t>存款账户必须以基金名义开立，账户名称为基金名称，存款账户开户文件上加盖预留印鉴（须包括托管人印章）及基金管理人公章。</w:t>
      </w:r>
    </w:p>
    <w:p w:rsidR="002169D4" w:rsidRDefault="0026776B">
      <w:pPr>
        <w:spacing w:line="360" w:lineRule="auto"/>
        <w:ind w:firstLine="464"/>
        <w:rPr>
          <w:spacing w:val="-4"/>
          <w:sz w:val="24"/>
          <w:lang w:eastAsia="zh-CN"/>
        </w:rPr>
      </w:pPr>
      <w:r>
        <w:rPr>
          <w:spacing w:val="-4"/>
          <w:sz w:val="24"/>
          <w:lang w:eastAsia="zh-CN"/>
        </w:rPr>
        <w:t>本基金投资银行存款时，基金管理人应当与存款银行签订具体存款协议</w:t>
      </w:r>
      <w:r>
        <w:rPr>
          <w:spacing w:val="-4"/>
          <w:sz w:val="24"/>
          <w:lang w:eastAsia="zh-CN"/>
        </w:rPr>
        <w:t>/</w:t>
      </w:r>
      <w:r>
        <w:rPr>
          <w:spacing w:val="-4"/>
          <w:sz w:val="24"/>
          <w:lang w:eastAsia="zh-CN"/>
        </w:rPr>
        <w:t>存款确认单据，明确存款的类型、期限、利率、金额、账号、对账方式、支取方式、</w:t>
      </w:r>
      <w:r>
        <w:rPr>
          <w:spacing w:val="6"/>
          <w:sz w:val="24"/>
          <w:lang w:eastAsia="zh-CN"/>
        </w:rPr>
        <w:t>存款到期指定收款账户</w:t>
      </w:r>
      <w:r>
        <w:rPr>
          <w:spacing w:val="-4"/>
          <w:sz w:val="24"/>
          <w:lang w:eastAsia="zh-CN"/>
        </w:rPr>
        <w:t>等细则。</w:t>
      </w:r>
    </w:p>
    <w:p w:rsidR="002169D4" w:rsidRDefault="0026776B">
      <w:pPr>
        <w:spacing w:line="360" w:lineRule="auto"/>
        <w:ind w:firstLine="464"/>
        <w:rPr>
          <w:spacing w:val="-4"/>
          <w:sz w:val="24"/>
          <w:lang w:eastAsia="zh-CN"/>
        </w:rPr>
      </w:pPr>
      <w:r>
        <w:rPr>
          <w:spacing w:val="-4"/>
          <w:sz w:val="24"/>
          <w:lang w:eastAsia="zh-CN"/>
        </w:rPr>
        <w:t>为防范特殊情况下的流动性风险，存款协议中应当约定提前支取条款。</w:t>
      </w:r>
    </w:p>
    <w:p w:rsidR="002169D4" w:rsidRDefault="0026776B">
      <w:pPr>
        <w:tabs>
          <w:tab w:val="left" w:pos="3780"/>
        </w:tabs>
        <w:spacing w:before="156" w:after="156" w:line="360" w:lineRule="auto"/>
        <w:outlineLvl w:val="0"/>
        <w:rPr>
          <w:rFonts w:ascii="宋体" w:hAnsi="宋体"/>
          <w:b/>
          <w:bCs/>
          <w:sz w:val="24"/>
          <w:lang w:eastAsia="zh-CN"/>
        </w:rPr>
      </w:pPr>
      <w:r>
        <w:rPr>
          <w:rFonts w:ascii="宋体" w:hAnsi="宋体"/>
          <w:b/>
          <w:bCs/>
          <w:sz w:val="24"/>
          <w:lang w:eastAsia="zh-CN"/>
        </w:rPr>
        <w:t>（八）其他账户的开立和管理</w:t>
      </w:r>
    </w:p>
    <w:p w:rsidR="00041AD4" w:rsidRDefault="001F1C51">
      <w:pPr>
        <w:spacing w:line="360" w:lineRule="auto"/>
        <w:ind w:firstLine="464"/>
        <w:rPr>
          <w:spacing w:val="-4"/>
          <w:lang w:eastAsia="zh-CN"/>
        </w:rPr>
      </w:pPr>
      <w:r w:rsidRPr="001F1C51">
        <w:rPr>
          <w:spacing w:val="-4"/>
          <w:sz w:val="24"/>
          <w:lang w:eastAsia="zh-CN"/>
        </w:rPr>
        <w:lastRenderedPageBreak/>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（九）基金财产投资的有关实物证券、银行存款定期存单等有价凭证的保管</w:t>
      </w:r>
    </w:p>
    <w:p w:rsidR="002169D4" w:rsidRDefault="0026776B">
      <w:pPr>
        <w:tabs>
          <w:tab w:val="num" w:pos="1260"/>
        </w:tabs>
        <w:spacing w:line="360" w:lineRule="auto"/>
        <w:ind w:firstLine="480"/>
        <w:rPr>
          <w:rFonts w:ascii="宋体"/>
          <w:color w:val="000000"/>
          <w:sz w:val="24"/>
          <w:lang w:eastAsia="zh-CN"/>
        </w:rPr>
      </w:pPr>
      <w:r>
        <w:rPr>
          <w:rFonts w:ascii="宋体" w:hAnsi="宋体"/>
          <w:sz w:val="24"/>
          <w:lang w:eastAsia="zh-CN"/>
        </w:rPr>
        <w:t>实物证券由基金托管人存放于基金托管人的保管库。实物证券的购买和转让，由基金托管人根据基金管理人的指令办理。</w:t>
      </w:r>
      <w:r>
        <w:rPr>
          <w:rFonts w:ascii="宋体" w:hAnsi="宋体"/>
          <w:color w:val="000000"/>
          <w:sz w:val="24"/>
          <w:lang w:eastAsia="zh-CN"/>
        </w:rPr>
        <w:t>基金托管人对由基金托管人以外机构实际有效控制的本基金资产不承担保管责任。</w:t>
      </w:r>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银行存款定期存单等有价凭证由基金托管人负责保管。</w:t>
      </w:r>
    </w:p>
    <w:p w:rsidR="002169D4" w:rsidRDefault="0026776B">
      <w:pPr>
        <w:spacing w:line="360" w:lineRule="auto"/>
        <w:ind w:firstLine="480"/>
        <w:rPr>
          <w:spacing w:val="-4"/>
          <w:sz w:val="24"/>
          <w:lang w:eastAsia="zh-CN"/>
        </w:rPr>
      </w:pPr>
      <w:r>
        <w:rPr>
          <w:rFonts w:ascii="宋体" w:hAnsi="宋体"/>
          <w:sz w:val="24"/>
          <w:lang w:eastAsia="zh-CN"/>
        </w:rPr>
        <w:t>基金托管人只负责对存款证实书进行保管，不负责对存款证实书真伪的辨别，不承担存款证实书对应存款的本金及收益的安全保管责任。</w:t>
      </w:r>
    </w:p>
    <w:p w:rsidR="002169D4" w:rsidRDefault="0026776B">
      <w:pPr>
        <w:tabs>
          <w:tab w:val="left" w:pos="3780"/>
        </w:tabs>
        <w:spacing w:before="156" w:after="156" w:line="360" w:lineRule="auto"/>
        <w:outlineLvl w:val="0"/>
        <w:rPr>
          <w:rFonts w:ascii="宋体"/>
          <w:b/>
          <w:bCs/>
          <w:sz w:val="24"/>
          <w:lang w:eastAsia="zh-CN"/>
        </w:rPr>
      </w:pPr>
      <w:bookmarkStart w:id="50" w:name="_Toc37159180"/>
      <w:bookmarkStart w:id="51" w:name="_Toc77663004"/>
      <w:r>
        <w:rPr>
          <w:rFonts w:ascii="宋体" w:hAnsi="宋体"/>
          <w:b/>
          <w:bCs/>
          <w:sz w:val="24"/>
          <w:lang w:eastAsia="zh-CN"/>
        </w:rPr>
        <w:t>（十）与基金财产有关的重大合同的保管</w:t>
      </w:r>
      <w:bookmarkEnd w:id="50"/>
      <w:bookmarkEnd w:id="51"/>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由基金管理人代表基金签署的与基金有关的重大合同的原件分别由基金托管人、基金管理人保管，相关业务程序另有限制除外。除本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对于无法取得二份以上的正本的，基金管理人应向基金托管人提供加盖授权业务章的合同传真件，未经双方协商或未在合同约定范围内，合同原件不得转移。</w:t>
      </w:r>
    </w:p>
    <w:p w:rsidR="002169D4" w:rsidRDefault="0026776B">
      <w:pPr>
        <w:pStyle w:val="1"/>
        <w:rPr>
          <w:lang w:eastAsia="zh-CN"/>
        </w:rPr>
      </w:pPr>
      <w:r>
        <w:rPr>
          <w:lang w:eastAsia="zh-CN"/>
        </w:rPr>
        <w:t>六、指令的发送、确认和执行</w:t>
      </w:r>
      <w:bookmarkEnd w:id="44"/>
      <w:bookmarkEnd w:id="45"/>
      <w:bookmarkEnd w:id="46"/>
      <w:bookmarkEnd w:id="47"/>
    </w:p>
    <w:p w:rsidR="002169D4" w:rsidRDefault="0026776B">
      <w:pPr>
        <w:tabs>
          <w:tab w:val="left" w:pos="3780"/>
        </w:tabs>
        <w:spacing w:before="156" w:after="156" w:line="360" w:lineRule="auto"/>
        <w:outlineLvl w:val="0"/>
        <w:rPr>
          <w:rFonts w:ascii="宋体"/>
          <w:b/>
          <w:bCs/>
          <w:sz w:val="24"/>
          <w:lang w:eastAsia="zh-CN"/>
        </w:rPr>
      </w:pPr>
      <w:bookmarkStart w:id="52" w:name="_Toc77663006"/>
      <w:r>
        <w:rPr>
          <w:rFonts w:ascii="宋体" w:hAnsi="宋体"/>
          <w:b/>
          <w:bCs/>
          <w:sz w:val="24"/>
          <w:lang w:eastAsia="zh-CN"/>
        </w:rPr>
        <w:t>（一）基金管理人对发送指令人员的书面授权</w:t>
      </w:r>
      <w:bookmarkEnd w:id="52"/>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应事先书面通知（以下简称“授权通知”）基金托管人有权发送指令的人员名单、签字样本、预留印鉴和启用日期，注明相应的权限，并规定基金管理人向基金托管人发送指令时基金托管人确认有权发送人员（以下简称“被授权人”）身份的方法。基金管理人向基金托管人发出的授权通知应加</w:t>
      </w:r>
      <w:r>
        <w:rPr>
          <w:rFonts w:ascii="宋体" w:hAnsi="宋体"/>
          <w:sz w:val="24"/>
          <w:lang w:eastAsia="zh-CN"/>
        </w:rPr>
        <w:lastRenderedPageBreak/>
        <w:t>盖公章。基金管理人发出授权通知后，以电话形式向基金托管人确认，授权通知自其上面注明的启用日期开始生效，在此后三个工作日内基金管理人应将授权通知的正本送交基金托管人。</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基金托管人收到授权通知后，将签字和印鉴与预留样本核对无误后，应在收到授权通知当日电话向基金管理人确认。</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基金管理人和基金托管人对授权文件负有保密义务，其内容不得向授权人及相关操作人员以外的任何人泄露。</w:t>
      </w:r>
      <w:bookmarkStart w:id="53" w:name="_Toc77663007"/>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（二）指令的内容</w:t>
      </w:r>
      <w:bookmarkEnd w:id="53"/>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指令是基金管理人在运用基金资产时，向基金托管人发出的资金划拨及其他款项收付的指令。</w:t>
      </w:r>
      <w:bookmarkStart w:id="54" w:name="_Toc77663008"/>
      <w:r>
        <w:rPr>
          <w:rFonts w:ascii="宋体" w:hAnsi="宋体"/>
          <w:sz w:val="24"/>
          <w:lang w:eastAsia="zh-CN"/>
        </w:rPr>
        <w:t>指令应写明款项事由、支付时间、到账时间、金额、账户、大额支付号等执行支付所需内容，加盖预留印鉴。</w:t>
      </w:r>
    </w:p>
    <w:p w:rsidR="002169D4" w:rsidRDefault="0026776B">
      <w:pPr>
        <w:tabs>
          <w:tab w:val="num" w:pos="1260"/>
        </w:tabs>
        <w:spacing w:line="360" w:lineRule="auto"/>
        <w:rPr>
          <w:rFonts w:ascii="宋体"/>
          <w:b/>
          <w:bCs/>
          <w:sz w:val="24"/>
          <w:lang w:eastAsia="zh-CN"/>
        </w:rPr>
      </w:pPr>
      <w:r>
        <w:rPr>
          <w:rFonts w:ascii="宋体" w:hAnsi="宋体"/>
          <w:b/>
          <w:bCs/>
          <w:sz w:val="24"/>
          <w:lang w:eastAsia="zh-CN"/>
        </w:rPr>
        <w:t>（三）指令的发送、确认和执行</w:t>
      </w:r>
      <w:bookmarkEnd w:id="54"/>
      <w:r>
        <w:rPr>
          <w:rFonts w:ascii="宋体" w:hAnsi="宋体"/>
          <w:b/>
          <w:bCs/>
          <w:sz w:val="24"/>
          <w:lang w:eastAsia="zh-CN"/>
        </w:rPr>
        <w:t>的时间和程序</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应按照《基金法》及其他有关法规、《基金合同》和本协议的规定，在其合法的经营权限和交易权限内发送指令，被授权人应按照其授权权限发送指令。指令由“授权通知”确定的被授权人代表基金管理人用传真的方式向基金托管人发送。发送后基金管理人及时通过电话与基金托管人确认指令内容。</w:t>
      </w:r>
      <w:r>
        <w:rPr>
          <w:rFonts w:hAnsi="宋体"/>
          <w:sz w:val="24"/>
          <w:lang w:eastAsia="zh-CN"/>
        </w:rPr>
        <w:t>基金管理人必须在</w:t>
      </w:r>
      <w:r>
        <w:rPr>
          <w:rFonts w:hAnsi="宋体"/>
          <w:sz w:val="24"/>
          <w:lang w:eastAsia="zh-CN"/>
        </w:rPr>
        <w:t>15:00</w:t>
      </w:r>
      <w:r>
        <w:rPr>
          <w:rFonts w:hAnsi="宋体"/>
          <w:sz w:val="24"/>
          <w:lang w:eastAsia="zh-CN"/>
        </w:rPr>
        <w:t>之前向基金托管人发送付款指令并确保基金银行账户有足够的资金余额，</w:t>
      </w:r>
      <w:r>
        <w:rPr>
          <w:rFonts w:hAnsi="宋体"/>
          <w:sz w:val="24"/>
          <w:lang w:eastAsia="zh-CN"/>
        </w:rPr>
        <w:t>15:00</w:t>
      </w:r>
      <w:r>
        <w:rPr>
          <w:rFonts w:hAnsi="宋体"/>
          <w:sz w:val="24"/>
          <w:lang w:eastAsia="zh-CN"/>
        </w:rPr>
        <w:t>之后发送付款指令或截止</w:t>
      </w:r>
      <w:r>
        <w:rPr>
          <w:rFonts w:hAnsi="宋体"/>
          <w:sz w:val="24"/>
          <w:lang w:eastAsia="zh-CN"/>
        </w:rPr>
        <w:t>15:00</w:t>
      </w:r>
      <w:r>
        <w:rPr>
          <w:rFonts w:hAnsi="宋体"/>
          <w:sz w:val="24"/>
          <w:lang w:eastAsia="zh-CN"/>
        </w:rPr>
        <w:t>时账户资金不足的，基金托管人不能保证在当日完成划付。对基金管理人在没有充足资金的情况下向基金托管人发出的指令，基金托管人可不予执行，并立即通知基金管理人，基金托管人不承担因为不执行该指令而造成损失的责任。如基金管理人要求当天某一时点到账，必须至少提前</w:t>
      </w:r>
      <w:r>
        <w:rPr>
          <w:rFonts w:hAnsi="宋体"/>
          <w:sz w:val="24"/>
          <w:lang w:eastAsia="zh-CN"/>
        </w:rPr>
        <w:t>2</w:t>
      </w:r>
      <w:r>
        <w:rPr>
          <w:rFonts w:hAnsi="宋体"/>
          <w:sz w:val="24"/>
          <w:lang w:eastAsia="zh-CN"/>
        </w:rPr>
        <w:t>个工作小时向基金托管人发送付款指令并与基金托管人电话确认。基金管理人指令传输及确认不及时或账户资金不足，未能留出足够的执行时间，致使指令未能及时执行的，基金托管人不承担由此导致的损失。基金管理人应将银行间市场成交单加盖预留印鉴后传真给基金托管人。</w:t>
      </w:r>
      <w:r>
        <w:rPr>
          <w:rFonts w:ascii="宋体" w:hAnsi="宋体"/>
          <w:sz w:val="24"/>
          <w:lang w:eastAsia="zh-CN"/>
        </w:rPr>
        <w:t>对于被授权人发出的指令，基金管理人不得否认其效力。基金托管人依照“授权通知”规定的方法确认指令的有效后，方可执行指令。基金托管人仅根据基金管理人的授权文件对指令进行表面相符性的形式审查，对其真实性不承担责任。</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lastRenderedPageBreak/>
        <w:t>（四）基金管理人发送错误指令的情形和处理程序</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 xml:space="preserve">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改正。 </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（五）基金托管人依照法律法规暂缓、拒绝执行指令的情形和处理程序</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在对基金场外投资指令进行审核时，如发现基金管理人的投资指令违反有关基金的法律法规、《基金合同》、本协议的规定，如交易未生效，则不予执行并立即通知基金管理人；如交易已生效，则以书面形式通知基金管理人限期纠正。基金管理人收到通知后应及时核对，并以约定形式向基金托管人反馈，由此造成的损失由基金管理人承担。</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在对基金场外投资指令进行审核时，如发现投资指令有可能违反法律法规、《基金合同》、本协议的规定，应暂缓执行指令，通知基金管理人改正。如果基金管理人拒不改正，基金托管人有权向中国证监会报告。</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（六）基金托管人未按照基金管理人指令执行的处理方法</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基金托管人由于自身原因造成未按照基金管理人发送的正常指令执行，应在发现后及时采取措施予以弥补，给基金份额持有人造成损失的，对由此造成的直接经济损失负赔偿责任。</w:t>
      </w:r>
      <w:bookmarkStart w:id="55" w:name="_Toc77663009"/>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（七）被授权人</w:t>
      </w:r>
      <w:bookmarkEnd w:id="55"/>
      <w:r>
        <w:rPr>
          <w:rFonts w:ascii="宋体" w:hAnsi="宋体"/>
          <w:b/>
          <w:bCs/>
          <w:sz w:val="24"/>
          <w:lang w:eastAsia="zh-CN"/>
        </w:rPr>
        <w:t>员的更换</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撤换被授权人员或改变被授权人员的权限，必须提前至少三个工作日，使用传真向基金托管人发出加盖公章的被授权人变更通知，注明启用日期，同时电话通知基金托管人。被授权人变更通知自其上面注明的启用日期起开始生效。基金管理人对授权通知的内容的修改自启用日期起生效。基金管理人在此后三个工作日内将被授权人变更通知的正本送交基金托管人。</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如果基金管理人已经撤销或更改对指令发送人员的授权，并且书面通知基金托管人，则对于在变更通知的启用日期后该指令发送人员无权发送的指令，或超权限发送的指令，基金管理人不承担责任。</w:t>
      </w:r>
    </w:p>
    <w:p w:rsidR="002169D4" w:rsidRDefault="0026776B">
      <w:pPr>
        <w:pStyle w:val="1"/>
        <w:rPr>
          <w:lang w:eastAsia="zh-CN"/>
        </w:rPr>
      </w:pPr>
      <w:bookmarkStart w:id="56" w:name="_Toc466788856"/>
      <w:bookmarkStart w:id="57" w:name="_Toc523829997"/>
      <w:bookmarkStart w:id="58" w:name="_Toc22454451"/>
      <w:bookmarkStart w:id="59" w:name="_Toc125892443"/>
      <w:bookmarkStart w:id="60" w:name="_Toc291504135"/>
      <w:r>
        <w:rPr>
          <w:lang w:eastAsia="zh-CN"/>
        </w:rPr>
        <w:lastRenderedPageBreak/>
        <w:t>七、交易及清算交收安排</w:t>
      </w:r>
      <w:bookmarkEnd w:id="56"/>
      <w:bookmarkEnd w:id="57"/>
      <w:bookmarkEnd w:id="58"/>
      <w:bookmarkEnd w:id="59"/>
      <w:bookmarkEnd w:id="60"/>
    </w:p>
    <w:p w:rsidR="002169D4" w:rsidRDefault="0026776B">
      <w:pPr>
        <w:tabs>
          <w:tab w:val="left" w:pos="3780"/>
        </w:tabs>
        <w:spacing w:before="156" w:after="156" w:line="360" w:lineRule="auto"/>
        <w:outlineLvl w:val="0"/>
        <w:rPr>
          <w:rFonts w:ascii="宋体"/>
          <w:b/>
          <w:bCs/>
          <w:sz w:val="24"/>
          <w:lang w:eastAsia="zh-CN"/>
        </w:rPr>
      </w:pPr>
      <w:bookmarkStart w:id="61" w:name="_Toc22454452"/>
      <w:bookmarkStart w:id="62" w:name="_Toc77663011"/>
      <w:bookmarkStart w:id="63" w:name="_Toc77663012"/>
      <w:r>
        <w:rPr>
          <w:rFonts w:ascii="宋体" w:hAnsi="宋体"/>
          <w:b/>
          <w:bCs/>
          <w:sz w:val="24"/>
          <w:lang w:eastAsia="zh-CN"/>
        </w:rPr>
        <w:t>（一）选择代理证券、期货买卖的证券、期货经纪机构的标准和程序</w:t>
      </w:r>
      <w:bookmarkEnd w:id="61"/>
      <w:bookmarkEnd w:id="62"/>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基金管理人负责选择代理本基金证券买卖的证券经纪机构，并代表基金与被选择的证券经纪机构签订交易单元租用协议。基金管理人应及时将基金交易单元号、佣金费率等基本信息以及变更情况及时以书面形式通知基金托管人，并在法定信息披露公告中披露相关内容。</w:t>
      </w:r>
    </w:p>
    <w:p w:rsidR="002169D4" w:rsidRDefault="0026776B">
      <w:pPr>
        <w:tabs>
          <w:tab w:val="num" w:pos="1260"/>
        </w:tabs>
        <w:spacing w:line="360" w:lineRule="auto"/>
        <w:ind w:firstLine="480"/>
        <w:rPr>
          <w:rFonts w:ascii="宋体"/>
          <w:sz w:val="24"/>
          <w:lang w:eastAsia="zh-CN"/>
        </w:rPr>
      </w:pPr>
      <w:r>
        <w:rPr>
          <w:rFonts w:ascii="宋体"/>
          <w:sz w:val="24"/>
          <w:lang w:eastAsia="zh-CN"/>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2169D4" w:rsidRDefault="0026776B">
      <w:pPr>
        <w:tabs>
          <w:tab w:val="left" w:pos="3780"/>
        </w:tabs>
        <w:spacing w:before="156" w:after="156" w:line="360" w:lineRule="auto"/>
        <w:outlineLvl w:val="0"/>
        <w:rPr>
          <w:rFonts w:ascii="宋体" w:hAnsi="宋体"/>
          <w:b/>
          <w:bCs/>
          <w:sz w:val="24"/>
          <w:lang w:eastAsia="zh-CN"/>
        </w:rPr>
      </w:pPr>
      <w:r>
        <w:rPr>
          <w:rFonts w:ascii="宋体" w:hAnsi="宋体"/>
          <w:b/>
          <w:bCs/>
          <w:sz w:val="24"/>
          <w:lang w:eastAsia="zh-CN"/>
        </w:rPr>
        <w:t>（二）基金投资证券后的清算</w:t>
      </w:r>
      <w:bookmarkEnd w:id="63"/>
      <w:r>
        <w:rPr>
          <w:rFonts w:ascii="宋体" w:hAnsi="宋体"/>
          <w:b/>
          <w:bCs/>
          <w:sz w:val="24"/>
          <w:lang w:eastAsia="zh-CN"/>
        </w:rPr>
        <w:t>交收安排</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1.资金划拨</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对于基金管理人的资金划拨指令，基金托管人在复核无误后应在规定期限内执行，不得延误。基金管理人应保证基金托管人在执行基金管理人发送的资金划拨指令时，基金银行账户或资金交收账户上有充足的资金。基金的资金头寸不足时，基金托管人有权拒绝基金管理人发送的划款指令。基金管理人在发送划款指令时应充分考虑基金托管人的划款处理时间和在途时间。在基金资金头寸充足的情况下，基金托管人对基金管理人符合法律法规、《基金合同》、本协议的指令不得拖延或拒绝执行。对超头寸的划款指令，基金托管人有权止付但应及时电话通知基金管理人，由此造成的损失由基金管理人承担。</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2.结算方式</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支付结算以转账形式进行。如中国人民银行有更快捷、安全、可行的结算方式，基金托管人可根据需要进行调整。</w:t>
      </w:r>
    </w:p>
    <w:p w:rsidR="002169D4" w:rsidRDefault="0026776B">
      <w:pPr>
        <w:tabs>
          <w:tab w:val="num" w:pos="1260"/>
        </w:tabs>
        <w:spacing w:line="360" w:lineRule="auto"/>
        <w:ind w:firstLine="480"/>
        <w:rPr>
          <w:rFonts w:ascii="宋体"/>
          <w:sz w:val="24"/>
          <w:lang w:eastAsia="zh-CN"/>
        </w:rPr>
      </w:pPr>
      <w:bookmarkStart w:id="64" w:name="_Toc466788858"/>
      <w:bookmarkStart w:id="65" w:name="_Toc523829999"/>
      <w:r>
        <w:rPr>
          <w:rFonts w:ascii="宋体" w:hAnsi="宋体"/>
          <w:sz w:val="24"/>
          <w:lang w:eastAsia="zh-CN"/>
        </w:rPr>
        <w:t>3.证券交易资金的清算</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本基金投资于证券而发生的场内、场外交易的清算交割，由基金托管人负责办理。</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本基金场外证券投资的清算交割，由基金托管人根据基金管理人的指令通过登记结算机构办理。本基金场内证券投资的清算交割，由基金托管人根据双方签订的《托管银行证券资金结算协议》约定，由基金托管人负责办理。但本</w:t>
      </w:r>
      <w:r>
        <w:rPr>
          <w:rFonts w:ascii="宋体" w:hAnsi="宋体"/>
          <w:sz w:val="24"/>
          <w:lang w:eastAsia="zh-CN"/>
        </w:rPr>
        <w:lastRenderedPageBreak/>
        <w:t>基金场内证券投资涉及T+0日非担保、RTGS交收的业务，基金管理人应在T+0日15：00前书面通知基金托管人办理交收，否则基金托管人不能保证相关清算交割成功。如因基金托管人的自身原因在清算上造成基金资产的损失，应由基金托管人负责赔偿基金的损失；如果因为基金管理人的投资运作而造成基金投资清算困难和风险的，基金托管人发现后应立即通知基金管理人，由基金管理人负责解决，基金托管人应给予必要的配合，由此给基金及基金托管人造成的损失由基金管理人承担。</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基金托管人在完成相关登记结算公司通知的事项后应通知基金管理人。</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由于基金管理人的原因造成基金无法按时支付证券清算款，按照登记结算机构的有关规定办理。</w:t>
      </w:r>
    </w:p>
    <w:p w:rsidR="002169D4" w:rsidRDefault="0026776B">
      <w:pPr>
        <w:tabs>
          <w:tab w:val="left" w:pos="3780"/>
        </w:tabs>
        <w:spacing w:before="156" w:after="156" w:line="360" w:lineRule="auto"/>
        <w:outlineLvl w:val="0"/>
        <w:rPr>
          <w:rFonts w:ascii="宋体" w:hAnsi="宋体"/>
          <w:b/>
          <w:bCs/>
          <w:sz w:val="24"/>
          <w:lang w:eastAsia="zh-CN"/>
        </w:rPr>
      </w:pPr>
      <w:bookmarkStart w:id="66" w:name="_Toc77663013"/>
      <w:r>
        <w:rPr>
          <w:rFonts w:ascii="宋体" w:hAnsi="宋体"/>
          <w:b/>
          <w:bCs/>
          <w:sz w:val="24"/>
          <w:lang w:eastAsia="zh-CN"/>
        </w:rPr>
        <w:t>（三）基金投资期货后的清算交收安排</w:t>
      </w:r>
    </w:p>
    <w:p w:rsidR="002169D4" w:rsidRDefault="0026776B">
      <w:pPr>
        <w:spacing w:line="360" w:lineRule="auto"/>
        <w:ind w:firstLine="480"/>
        <w:rPr>
          <w:rFonts w:ascii="宋体" w:hAnsi="宋体"/>
          <w:sz w:val="24"/>
          <w:lang w:eastAsia="zh-CN"/>
        </w:rPr>
      </w:pPr>
      <w:r>
        <w:rPr>
          <w:rFonts w:ascii="宋体" w:hAnsi="宋体"/>
          <w:sz w:val="24"/>
          <w:lang w:eastAsia="zh-CN"/>
        </w:rPr>
        <w:t>1、本基金</w:t>
      </w:r>
      <w:r>
        <w:rPr>
          <w:spacing w:val="-4"/>
          <w:sz w:val="24"/>
          <w:lang w:eastAsia="zh-CN"/>
        </w:rPr>
        <w:t>通过</w:t>
      </w:r>
      <w:r>
        <w:rPr>
          <w:rFonts w:ascii="宋体" w:hAnsi="宋体"/>
          <w:sz w:val="24"/>
          <w:lang w:eastAsia="zh-CN"/>
        </w:rPr>
        <w:t>期货经纪机构</w:t>
      </w:r>
      <w:r>
        <w:rPr>
          <w:spacing w:val="-4"/>
          <w:sz w:val="24"/>
          <w:lang w:eastAsia="zh-CN"/>
        </w:rPr>
        <w:t>进行的交易</w:t>
      </w:r>
      <w:r>
        <w:rPr>
          <w:rFonts w:ascii="宋体" w:hAnsi="宋体"/>
          <w:sz w:val="24"/>
          <w:lang w:eastAsia="zh-CN"/>
        </w:rPr>
        <w:t>由期货经纪机构作为结算参与人代理本基金进行结算，</w:t>
      </w:r>
      <w:r>
        <w:rPr>
          <w:rFonts w:ascii="宋体"/>
          <w:sz w:val="24"/>
          <w:lang w:eastAsia="zh-CN"/>
        </w:rPr>
        <w:t>并承担由期货经纪机构原因造成的正常结算、交收业务无法完成的责任</w:t>
      </w:r>
      <w:r>
        <w:rPr>
          <w:rFonts w:ascii="宋体" w:hAnsi="宋体"/>
          <w:sz w:val="24"/>
          <w:lang w:eastAsia="zh-CN"/>
        </w:rPr>
        <w:t>。</w:t>
      </w:r>
    </w:p>
    <w:p w:rsidR="002169D4" w:rsidRDefault="0026776B">
      <w:pPr>
        <w:spacing w:line="360" w:lineRule="auto"/>
        <w:ind w:firstLine="480"/>
        <w:rPr>
          <w:rFonts w:ascii="宋体" w:hAnsi="宋体"/>
          <w:sz w:val="24"/>
          <w:lang w:eastAsia="zh-CN"/>
        </w:rPr>
      </w:pPr>
      <w:r>
        <w:rPr>
          <w:rFonts w:ascii="宋体" w:hAnsi="宋体"/>
          <w:sz w:val="24"/>
          <w:lang w:eastAsia="zh-CN"/>
        </w:rPr>
        <w:t>2、基金管理人、基金托管人和期货经纪机构可就基金参与期货交易的具体事项另行签订协议，明确三方在基金参与期货交易中的账户开立、资金划拨、期货交易、交易费用、数据传输，以及风控控制与监督等方面的职责和义务。</w:t>
      </w:r>
    </w:p>
    <w:p w:rsidR="002169D4" w:rsidRDefault="0026776B">
      <w:pPr>
        <w:spacing w:line="360" w:lineRule="auto"/>
        <w:ind w:firstLine="480"/>
        <w:rPr>
          <w:rFonts w:ascii="宋体" w:hAnsi="宋体"/>
          <w:sz w:val="24"/>
          <w:lang w:eastAsia="zh-CN"/>
        </w:rPr>
      </w:pPr>
      <w:r>
        <w:rPr>
          <w:rFonts w:ascii="宋体" w:hAnsi="宋体"/>
          <w:sz w:val="24"/>
          <w:lang w:eastAsia="zh-CN"/>
        </w:rPr>
        <w:t>3、基金管理人应责成其选择的期货公司对发送的数据的准确性、完整性、真实性负责。</w:t>
      </w:r>
    </w:p>
    <w:p w:rsidR="002169D4" w:rsidRDefault="0026776B">
      <w:pPr>
        <w:spacing w:before="156" w:after="156" w:line="360" w:lineRule="auto"/>
        <w:ind w:firstLine="480"/>
        <w:rPr>
          <w:rFonts w:ascii="宋体" w:hAnsi="宋体"/>
          <w:b/>
          <w:bCs/>
          <w:sz w:val="24"/>
          <w:lang w:eastAsia="zh-CN"/>
        </w:rPr>
      </w:pPr>
      <w:r>
        <w:rPr>
          <w:rFonts w:ascii="宋体" w:hAnsi="宋体"/>
          <w:sz w:val="24"/>
          <w:lang w:eastAsia="zh-CN"/>
        </w:rPr>
        <w:t>由于交易结算报告的记载事项出现与实际交易结果和权益不符造成本产品估值计算错误的，应由基金管理人负责向数据发送方追偿，基金托管人不承担责任。</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（四）基金管理人与基金托管人进行资金、证券账目和交易记录的核对</w:t>
      </w:r>
      <w:bookmarkEnd w:id="66"/>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对基金的交易记录，由基金管理人按日进行核对。对外披露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w:t>
      </w:r>
      <w:r>
        <w:rPr>
          <w:rFonts w:ascii="宋体" w:hAnsi="宋体"/>
          <w:sz w:val="24"/>
          <w:lang w:eastAsia="zh-CN"/>
        </w:rPr>
        <w:lastRenderedPageBreak/>
        <w:t>认可的方式在当日全部交易结束后，将编制的基金资金、证券账目传送给基金托管人，基金托管人按日进行账目核对。</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对实物券账目，相关各方定期进行账实核对。</w:t>
      </w:r>
    </w:p>
    <w:p w:rsidR="002169D4" w:rsidRDefault="0026776B">
      <w:pPr>
        <w:tabs>
          <w:tab w:val="num" w:pos="1260"/>
        </w:tabs>
        <w:spacing w:line="360" w:lineRule="auto"/>
        <w:ind w:firstLine="480"/>
        <w:rPr>
          <w:rFonts w:ascii="宋体"/>
          <w:b/>
          <w:bCs/>
          <w:sz w:val="24"/>
          <w:lang w:eastAsia="zh-CN"/>
        </w:rPr>
      </w:pPr>
      <w:r>
        <w:rPr>
          <w:rFonts w:ascii="宋体" w:hAnsi="宋体"/>
          <w:sz w:val="24"/>
          <w:lang w:eastAsia="zh-CN"/>
        </w:rPr>
        <w:t>基金托管人应定期核对证券账户中的证券数量和种类。</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双方可协商采用电子对账方式进行账目核对。</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（五）申购、赎回、转换开放式基金的资金清算和数据传递的时间、程序及托管协议当事人的责任界定</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1.基金份额申购、赎回的确认，清算由基金管理人指定的登记机构负责。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2.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3.基金管理人应在交收日前将申购净额（不包含申购费）划至托管账户。如申购净额未能如期到账，基金托管人应及时通知基金管理人采取措施进行催收，由此给基金造成损失的，由责任方承担。基金管理人负责向责任方追偿基金的损失。</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4.基金管理人应及时向基金托管人发送赎回及转换资金的划拨指令。基金托管人依据划款指令在T＋3日前（包含赎回产生的应付费用）划至基金管理人指定账户。基金管理人应及时通知基金托管人划付。若赎回金额未能如期划拨，由此造成的损失，由责任方承担。基金管理人负责向责任方追偿基金的损失。</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（六）基金收益分配的清算交收安排</w:t>
      </w:r>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1.基金管理人决定收益分配方案并通知基金托管人，经基金托管人复核后公告。</w:t>
      </w:r>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 xml:space="preserve">2.基金托管人和基金管理人对基金收益分配进行账务处理并核对后，基金管理人应及时向基金托管人发送分发现金红利的划款指令，基金托管人依据划款指令在指定划付日及时将资金划至基金管理人指定账户。 </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lastRenderedPageBreak/>
        <w:t>3.基金管理人在下达分红款支付指令时，应给基金托管人留出必需的划款时间。</w:t>
      </w:r>
      <w:bookmarkStart w:id="67" w:name="_Toc125892444"/>
    </w:p>
    <w:p w:rsidR="002169D4" w:rsidRDefault="0026776B">
      <w:pPr>
        <w:pStyle w:val="1"/>
        <w:rPr>
          <w:lang w:eastAsia="zh-CN"/>
        </w:rPr>
      </w:pPr>
      <w:bookmarkStart w:id="68" w:name="_Toc291504136"/>
      <w:r>
        <w:rPr>
          <w:lang w:eastAsia="zh-CN"/>
        </w:rPr>
        <w:t>八、基金资产净值计算和会计核算</w:t>
      </w:r>
      <w:bookmarkEnd w:id="64"/>
      <w:bookmarkEnd w:id="65"/>
      <w:bookmarkEnd w:id="67"/>
      <w:bookmarkEnd w:id="68"/>
    </w:p>
    <w:p w:rsidR="002169D4" w:rsidRDefault="0026776B">
      <w:pPr>
        <w:tabs>
          <w:tab w:val="left" w:pos="3780"/>
        </w:tabs>
        <w:spacing w:before="156" w:after="156" w:line="360" w:lineRule="auto"/>
        <w:outlineLvl w:val="0"/>
        <w:rPr>
          <w:rFonts w:ascii="宋体"/>
          <w:b/>
          <w:bCs/>
          <w:sz w:val="24"/>
          <w:lang w:eastAsia="zh-CN"/>
        </w:rPr>
      </w:pPr>
      <w:bookmarkStart w:id="69" w:name="_Toc77663017"/>
      <w:r>
        <w:rPr>
          <w:rFonts w:ascii="宋体" w:hAnsi="宋体"/>
          <w:b/>
          <w:bCs/>
          <w:sz w:val="24"/>
          <w:lang w:eastAsia="zh-CN"/>
        </w:rPr>
        <w:t>（一）基金资产净值及基金份额净值的计算与复核</w:t>
      </w:r>
      <w:bookmarkEnd w:id="69"/>
    </w:p>
    <w:p w:rsidR="002169D4" w:rsidRDefault="0026776B">
      <w:pPr>
        <w:spacing w:line="360" w:lineRule="auto"/>
        <w:ind w:firstLine="420"/>
        <w:rPr>
          <w:rFonts w:ascii="宋体"/>
          <w:sz w:val="24"/>
          <w:lang w:eastAsia="zh-CN"/>
        </w:rPr>
      </w:pPr>
      <w:r>
        <w:rPr>
          <w:rFonts w:ascii="宋体" w:hAnsi="宋体"/>
          <w:sz w:val="24"/>
          <w:lang w:eastAsia="zh-CN"/>
        </w:rPr>
        <w:t>基金资产净值是指基金资产总值减去基金负债后的价值。</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基金管理人应每个工作日对基金资产估值。估值原则应符合《基金合同》、</w:t>
      </w:r>
      <w:r>
        <w:rPr>
          <w:rFonts w:ascii="宋体"/>
          <w:sz w:val="24"/>
          <w:lang w:eastAsia="zh-CN"/>
        </w:rPr>
        <w:t>《中国证监会关于证券投资基金估值业务的指导意见》</w:t>
      </w:r>
      <w:r>
        <w:rPr>
          <w:rFonts w:ascii="宋体" w:hAnsi="宋体"/>
          <w:sz w:val="24"/>
          <w:lang w:eastAsia="zh-CN"/>
        </w:rPr>
        <w:t>及其他法律、法规的规定。基金资产净值和各类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各类基金份额净值予以公布。</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 xml:space="preserve">本基金按以下方法估值：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1、证券交易所上市的有价证券的估值 </w:t>
      </w:r>
    </w:p>
    <w:p w:rsidR="002169D4" w:rsidRDefault="0026776B">
      <w:pPr>
        <w:spacing w:line="360" w:lineRule="auto"/>
        <w:ind w:firstLine="480"/>
        <w:rPr>
          <w:rFonts w:ascii="宋体" w:hAnsi="宋体"/>
          <w:bCs/>
          <w:sz w:val="24"/>
          <w:lang w:eastAsia="zh-CN"/>
        </w:rPr>
      </w:pPr>
      <w:r>
        <w:rPr>
          <w:rFonts w:ascii="宋体" w:hAnsi="宋体"/>
          <w:bCs/>
          <w:sz w:val="24"/>
          <w:lang w:eastAsia="zh-CN"/>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169D4" w:rsidRDefault="0026776B">
      <w:pPr>
        <w:spacing w:line="360" w:lineRule="auto"/>
        <w:ind w:firstLine="480"/>
        <w:rPr>
          <w:rFonts w:ascii="宋体" w:hAnsi="宋体"/>
          <w:bCs/>
          <w:sz w:val="24"/>
          <w:lang w:eastAsia="zh-CN"/>
        </w:rPr>
      </w:pPr>
      <w:r>
        <w:rPr>
          <w:rFonts w:ascii="宋体" w:hAnsi="宋体"/>
          <w:bCs/>
          <w:sz w:val="24"/>
          <w:lang w:eastAsia="zh-CN"/>
        </w:rPr>
        <w:t>（2）交易所上市</w:t>
      </w:r>
      <w:bookmarkStart w:id="70" w:name="_DV_C489"/>
      <w:r>
        <w:rPr>
          <w:rFonts w:hAnsi="宋体"/>
          <w:bCs/>
          <w:sz w:val="24"/>
          <w:lang w:eastAsia="zh-CN"/>
        </w:rPr>
        <w:t>交易或挂牌转让的不含权固定收益品种，选取估值日第三方估值机构提供的相应品种当日的估值净价进行估值</w:t>
      </w:r>
      <w:bookmarkEnd w:id="70"/>
      <w:r>
        <w:rPr>
          <w:rFonts w:hAnsi="宋体"/>
          <w:bCs/>
          <w:sz w:val="24"/>
          <w:lang w:eastAsia="zh-CN"/>
        </w:rPr>
        <w:t>。</w:t>
      </w:r>
    </w:p>
    <w:p w:rsidR="002169D4" w:rsidRDefault="0026776B">
      <w:pPr>
        <w:spacing w:line="360" w:lineRule="auto"/>
        <w:ind w:firstLine="480"/>
        <w:rPr>
          <w:rFonts w:ascii="宋体" w:hAnsi="宋体"/>
          <w:bCs/>
          <w:sz w:val="24"/>
          <w:lang w:eastAsia="zh-CN"/>
        </w:rPr>
      </w:pPr>
      <w:r>
        <w:rPr>
          <w:rFonts w:ascii="宋体" w:hAnsi="宋体"/>
          <w:bCs/>
          <w:sz w:val="24"/>
          <w:lang w:eastAsia="zh-CN"/>
        </w:rPr>
        <w:t>（3）交易所上市</w:t>
      </w:r>
      <w:bookmarkStart w:id="71" w:name="_DV_C491"/>
      <w:r>
        <w:rPr>
          <w:rFonts w:hAnsi="宋体"/>
          <w:bCs/>
          <w:sz w:val="24"/>
          <w:lang w:eastAsia="zh-CN"/>
        </w:rPr>
        <w:t>交易或挂牌转让的含权固定收益品种，选取估值日第三方估值机构提供的相应品种当日的唯一估值净价或推荐估值净价进行估值</w:t>
      </w:r>
      <w:bookmarkEnd w:id="71"/>
      <w:r>
        <w:rPr>
          <w:rFonts w:hAnsi="宋体"/>
          <w:bCs/>
          <w:sz w:val="24"/>
          <w:lang w:eastAsia="zh-CN"/>
        </w:rPr>
        <w:t>。</w:t>
      </w:r>
    </w:p>
    <w:p w:rsidR="002169D4" w:rsidRDefault="0026776B">
      <w:pPr>
        <w:spacing w:line="360" w:lineRule="auto"/>
        <w:ind w:firstLine="480"/>
        <w:rPr>
          <w:rFonts w:ascii="宋体" w:hAnsi="宋体"/>
          <w:bCs/>
          <w:sz w:val="24"/>
          <w:lang w:eastAsia="zh-CN"/>
        </w:rPr>
      </w:pPr>
      <w:r>
        <w:rPr>
          <w:rFonts w:ascii="宋体" w:hAnsi="宋体"/>
          <w:bCs/>
          <w:sz w:val="24"/>
          <w:lang w:eastAsia="zh-CN"/>
        </w:rPr>
        <w:t>（4）</w:t>
      </w:r>
      <w:bookmarkStart w:id="72" w:name="_DV_C492"/>
      <w:r>
        <w:rPr>
          <w:rFonts w:ascii="宋体" w:hAnsi="宋体"/>
          <w:bCs/>
          <w:sz w:val="24"/>
          <w:lang w:eastAsia="zh-CN"/>
        </w:rPr>
        <w:t>交易所上市交易的可</w:t>
      </w:r>
      <w:r>
        <w:rPr>
          <w:rFonts w:hAnsi="宋体"/>
          <w:bCs/>
          <w:sz w:val="24"/>
          <w:lang w:eastAsia="zh-CN"/>
        </w:rPr>
        <w:t>转换债券以每日收盘价作为估值全价</w:t>
      </w:r>
      <w:bookmarkEnd w:id="72"/>
      <w:r>
        <w:rPr>
          <w:rFonts w:hAnsi="宋体"/>
          <w:bCs/>
          <w:sz w:val="24"/>
          <w:lang w:eastAsia="zh-CN"/>
        </w:rPr>
        <w:t>；交易所上市实行全价交易的债券（可转债除外），选取第三方估值机构提供的估值全价减去估值全价中所含的债券（税后）应收利息得到的净价进行估值。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（5）交易所上市不存在活跃市场的有价证券，采用估值技术确定公允价值。交易所市场挂牌转让的资产支持证券，采用估值技术确定公允价值，在估值技术难以可靠计量公允价值的情况下，按成本估值。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Ansi="宋体"/>
          <w:bCs/>
          <w:sz w:val="24"/>
          <w:lang w:eastAsia="zh-CN"/>
        </w:rPr>
        <w:t>市场活动或市场活动很少的情况下，应采用估值技术确定其公允价值。</w:t>
      </w:r>
    </w:p>
    <w:p w:rsidR="002169D4" w:rsidRDefault="0026776B">
      <w:pPr>
        <w:spacing w:line="360" w:lineRule="auto"/>
        <w:ind w:firstLine="480"/>
        <w:rPr>
          <w:rFonts w:ascii="宋体" w:hAnsi="宋体"/>
          <w:bCs/>
          <w:sz w:val="24"/>
          <w:lang w:eastAsia="zh-CN"/>
        </w:rPr>
      </w:pPr>
      <w:r>
        <w:rPr>
          <w:rFonts w:ascii="宋体" w:hAnsi="宋体"/>
          <w:bCs/>
          <w:sz w:val="24"/>
          <w:lang w:eastAsia="zh-CN"/>
        </w:rPr>
        <w:t>2、处于未上市期间的有价证券应区分如下情况处理：</w:t>
      </w:r>
    </w:p>
    <w:p w:rsidR="002169D4" w:rsidRDefault="0026776B">
      <w:pPr>
        <w:spacing w:line="360" w:lineRule="auto"/>
        <w:ind w:firstLine="480"/>
        <w:rPr>
          <w:rFonts w:ascii="宋体" w:hAnsi="宋体"/>
          <w:bCs/>
          <w:sz w:val="24"/>
          <w:lang w:eastAsia="zh-CN"/>
        </w:rPr>
      </w:pPr>
      <w:r>
        <w:rPr>
          <w:rFonts w:ascii="宋体" w:hAnsi="宋体"/>
          <w:bCs/>
          <w:sz w:val="24"/>
          <w:lang w:eastAsia="zh-CN"/>
        </w:rPr>
        <w:t>（1）送股、转增股、配股和公开增发的新股，按估值日在证券交易所挂牌的同一股票的估值方法估值；该日无交易的，以最近一日的市价（收盘价）估值。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（2）首次公开发行未上市的股票、债券，采用估值技术确定公允价值，在估值技术难以可靠计量公允价值的情况下，按成本估值。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（3）</w:t>
      </w:r>
      <w:bookmarkStart w:id="73" w:name="_DV_C500"/>
      <w:r>
        <w:rPr>
          <w:rFonts w:hAnsi="宋体"/>
          <w:bCs/>
          <w:sz w:val="24"/>
          <w:lang w:eastAsia="zh-CN"/>
        </w:rPr>
        <w:t>在发行时</w:t>
      </w:r>
      <w:bookmarkEnd w:id="73"/>
      <w:r>
        <w:rPr>
          <w:rFonts w:hAnsi="宋体"/>
          <w:bCs/>
          <w:sz w:val="24"/>
          <w:lang w:eastAsia="zh-CN"/>
        </w:rPr>
        <w:t>明确</w:t>
      </w:r>
      <w:bookmarkStart w:id="74" w:name="_DV_C502"/>
      <w:r>
        <w:rPr>
          <w:rFonts w:hAnsi="宋体"/>
          <w:bCs/>
          <w:sz w:val="24"/>
          <w:lang w:eastAsia="zh-CN"/>
        </w:rPr>
        <w:t>一定期限限售期的股票，包括但不限于非公开发行股票、首次公开发行股票时公司股东公开发售股份、通过大宗交易取得的带限售期的股票等，不包括停牌、新发行未上市、回购交易中的质押券等流通受限</w:t>
      </w:r>
      <w:bookmarkStart w:id="75" w:name="_DV_M827"/>
      <w:bookmarkEnd w:id="74"/>
      <w:bookmarkEnd w:id="75"/>
      <w:r>
        <w:rPr>
          <w:rFonts w:ascii="宋体" w:hAnsi="宋体"/>
          <w:bCs/>
          <w:sz w:val="24"/>
          <w:lang w:eastAsia="zh-CN"/>
        </w:rPr>
        <w:t>股票，按监管机构或行业协会有关规定确定公允价值。</w:t>
      </w:r>
    </w:p>
    <w:p w:rsidR="002169D4" w:rsidRDefault="0026776B">
      <w:pPr>
        <w:spacing w:line="360" w:lineRule="auto"/>
        <w:ind w:firstLine="480"/>
        <w:rPr>
          <w:rFonts w:hAnsi="宋体"/>
          <w:bCs/>
          <w:sz w:val="24"/>
          <w:lang w:eastAsia="zh-CN"/>
        </w:rPr>
      </w:pPr>
      <w:r>
        <w:rPr>
          <w:rFonts w:ascii="宋体" w:hAnsi="宋体"/>
          <w:bCs/>
          <w:sz w:val="24"/>
          <w:lang w:eastAsia="zh-CN"/>
        </w:rPr>
        <w:t>3、</w:t>
      </w:r>
      <w:bookmarkStart w:id="76" w:name="_DV_C504"/>
      <w:r>
        <w:rPr>
          <w:rFonts w:ascii="宋体" w:hAnsi="宋体"/>
          <w:bCs/>
          <w:sz w:val="24"/>
          <w:lang w:eastAsia="zh-CN"/>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Ansi="宋体"/>
          <w:bCs/>
          <w:sz w:val="24"/>
          <w:lang w:eastAsia="zh-CN"/>
        </w:rPr>
        <w:t>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bookmarkEnd w:id="76"/>
    </w:p>
    <w:p w:rsidR="002169D4" w:rsidRDefault="0026776B">
      <w:pPr>
        <w:spacing w:line="360" w:lineRule="auto"/>
        <w:ind w:firstLine="480"/>
        <w:rPr>
          <w:rFonts w:ascii="宋体" w:hAnsi="宋体"/>
          <w:bCs/>
          <w:sz w:val="24"/>
          <w:lang w:eastAsia="zh-CN"/>
        </w:rPr>
      </w:pPr>
      <w:r>
        <w:rPr>
          <w:rFonts w:ascii="宋体" w:hAnsi="宋体"/>
          <w:bCs/>
          <w:sz w:val="24"/>
          <w:lang w:eastAsia="zh-CN"/>
        </w:rPr>
        <w:t>4、同一债券同时在两个或两个以上市场交易的，按债券所处的市场分别估值。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5、股指期货合约估值方法</w:t>
      </w:r>
    </w:p>
    <w:p w:rsidR="002169D4" w:rsidRDefault="0026776B">
      <w:pPr>
        <w:spacing w:line="360" w:lineRule="auto"/>
        <w:ind w:firstLine="480"/>
        <w:rPr>
          <w:rFonts w:ascii="宋体" w:hAnsi="宋体"/>
          <w:bCs/>
          <w:sz w:val="24"/>
          <w:lang w:eastAsia="zh-CN"/>
        </w:rPr>
      </w:pPr>
      <w:r>
        <w:rPr>
          <w:rFonts w:ascii="宋体" w:hAnsi="宋体"/>
          <w:bCs/>
          <w:sz w:val="24"/>
          <w:lang w:eastAsia="zh-CN"/>
        </w:rPr>
        <w:t>本基金投资股指期货合约，一般以估值当日结算价进行估值，估值日无结算价的，且最近交易日后经济环境未发生重大变化的，采用最近交易日结算价估值。</w:t>
      </w:r>
    </w:p>
    <w:p w:rsidR="002169D4" w:rsidRDefault="0026776B">
      <w:pPr>
        <w:spacing w:line="360" w:lineRule="auto"/>
        <w:ind w:firstLine="480"/>
        <w:rPr>
          <w:rFonts w:hAnsi="宋体"/>
          <w:bCs/>
          <w:sz w:val="24"/>
          <w:lang w:eastAsia="zh-CN"/>
        </w:rPr>
      </w:pPr>
      <w:r>
        <w:rPr>
          <w:rFonts w:hAnsi="宋体"/>
          <w:bCs/>
          <w:sz w:val="24"/>
          <w:lang w:eastAsia="zh-CN"/>
        </w:rPr>
        <w:lastRenderedPageBreak/>
        <w:t>6</w:t>
      </w:r>
      <w:r>
        <w:rPr>
          <w:rFonts w:hAnsi="宋体"/>
          <w:bCs/>
          <w:sz w:val="24"/>
          <w:lang w:eastAsia="zh-CN"/>
        </w:rPr>
        <w:t>、</w:t>
      </w:r>
      <w:r>
        <w:rPr>
          <w:rFonts w:ascii="宋体" w:hAnsi="宋体"/>
          <w:bCs/>
          <w:sz w:val="24"/>
          <w:lang w:eastAsia="zh-CN"/>
        </w:rPr>
        <w:t>如有确凿证据表明按上述方法进行估值不能客观反映其公允价值的，基金管理人可根据具体情况与基金托管人商定后，按最能反映公允价值的价格估值。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7、当发生大额申购或赎回情形时，基金管理人可以采用摆动定价机制，以确保基金估值的公平性。</w:t>
      </w:r>
    </w:p>
    <w:p w:rsidR="002169D4" w:rsidRDefault="0026776B">
      <w:pPr>
        <w:spacing w:line="360" w:lineRule="auto"/>
        <w:ind w:firstLine="480"/>
        <w:rPr>
          <w:rFonts w:ascii="宋体" w:hAnsi="宋体"/>
          <w:bCs/>
          <w:sz w:val="24"/>
          <w:lang w:eastAsia="zh-CN"/>
        </w:rPr>
      </w:pPr>
      <w:r>
        <w:rPr>
          <w:rFonts w:ascii="宋体" w:hAnsi="宋体"/>
          <w:bCs/>
          <w:sz w:val="24"/>
          <w:lang w:eastAsia="zh-CN"/>
        </w:rPr>
        <w:t>8、</w:t>
      </w:r>
      <w:r>
        <w:rPr>
          <w:rFonts w:ascii="宋体"/>
          <w:sz w:val="24"/>
          <w:lang w:val="zh-CN" w:eastAsia="zh-CN"/>
        </w:rPr>
        <w:t>相关法律法规以及监管部门有强制规定的，从其规定。如有新增事项，按国家最新规定估值。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2169D4" w:rsidRDefault="0026776B">
      <w:pPr>
        <w:spacing w:line="360" w:lineRule="auto"/>
        <w:ind w:firstLine="480"/>
        <w:rPr>
          <w:rFonts w:ascii="宋体" w:hAnsi="宋体"/>
          <w:bCs/>
          <w:sz w:val="24"/>
          <w:lang w:eastAsia="zh-CN"/>
        </w:rPr>
      </w:pPr>
      <w:r>
        <w:rPr>
          <w:rFonts w:ascii="宋体" w:hAnsi="宋体"/>
          <w:bCs/>
          <w:sz w:val="24"/>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（二）净值差错处理</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基金管理人和基金托管人将采取必要、适当、合理的措施确保基金资产估值的准确性、及时性。当基金份额净值小数点后4位以内(含第4位)发生估值错误时，视为基金份额净值错误。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基金合同的当事人应按照以下约定处理：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1、估值错误类型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上述估值错误的主要类型包括但不限于：资料申报差错、数据传输差错、数据计算差错、系统故障差错、下达指令差错等。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2、估值错误处理原则 </w:t>
      </w:r>
    </w:p>
    <w:p w:rsidR="002169D4" w:rsidRDefault="0026776B">
      <w:pPr>
        <w:spacing w:line="360" w:lineRule="auto"/>
        <w:ind w:firstLine="480"/>
        <w:rPr>
          <w:rFonts w:ascii="宋体" w:hAnsi="宋体"/>
          <w:bCs/>
          <w:sz w:val="24"/>
          <w:lang w:eastAsia="zh-CN"/>
        </w:rPr>
      </w:pPr>
      <w:r>
        <w:rPr>
          <w:rFonts w:ascii="宋体" w:hAnsi="宋体"/>
          <w:bCs/>
          <w:sz w:val="24"/>
          <w:lang w:eastAsia="zh-CN"/>
        </w:rPr>
        <w:t>（1）估值错误已发生，但尚未给当事人造成损失时，估值错误责任方应及时协调各方，及时进行更正，因更正估值错误发生的费用由估值错误责任方</w:t>
      </w:r>
      <w:r>
        <w:rPr>
          <w:rFonts w:ascii="宋体" w:hAnsi="宋体"/>
          <w:bCs/>
          <w:sz w:val="24"/>
          <w:lang w:eastAsia="zh-CN"/>
        </w:rPr>
        <w:lastRenderedPageBreak/>
        <w:t xml:space="preserve">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（2）估值错误的责任方对有关当事人的直接损失负责，不对间接损失负责，并且仅对估值错误的有关直接当事人负责，不对第三方负责。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（4）估值错误调整采用尽量恢复至假设未发生估值错误的正确情形的方式。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3、估值错误处理程序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估值错误被发现后，有关的当事人应当及时进行处理，处理的程序如下：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（1）查明估值错误发生的原因，列明所有的当事人，并根据估值错误发生的原因确定估值错误的责任方；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（2）根据估值错误处理原则或当事人协商的方法对因估值错误造成的损失进行评估；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（3）根据估值错误处理原则或当事人协商的方法由估值错误的责任方进行更正和赔偿损失；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（4）根据估值错误处理的方法，需要修改基金登记机构交易数据的，由基金登记机构进行更正，并就估值错误的更正向有关当事人进行确认。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4、基金份额净值估值错误处理的方法如下： </w:t>
      </w:r>
    </w:p>
    <w:p w:rsidR="00C23D7A" w:rsidRPr="001B14EC" w:rsidRDefault="00C23D7A" w:rsidP="00C23D7A">
      <w:pPr>
        <w:spacing w:line="360" w:lineRule="auto"/>
        <w:ind w:firstLineChars="200" w:firstLine="480"/>
        <w:rPr>
          <w:rFonts w:ascii="宋体" w:hAnsi="宋体"/>
          <w:bCs/>
          <w:color w:val="000000"/>
          <w:sz w:val="24"/>
          <w:lang w:eastAsia="zh-CN"/>
        </w:rPr>
      </w:pPr>
      <w:r w:rsidRPr="001B14EC">
        <w:rPr>
          <w:rFonts w:ascii="宋体" w:hAnsi="宋体" w:hint="eastAsia"/>
          <w:bCs/>
          <w:color w:val="000000"/>
          <w:sz w:val="24"/>
          <w:lang w:eastAsia="zh-CN"/>
        </w:rPr>
        <w:lastRenderedPageBreak/>
        <w:t>（</w:t>
      </w:r>
      <w:r w:rsidRPr="001B14EC">
        <w:rPr>
          <w:rFonts w:ascii="宋体" w:hAnsi="宋体"/>
          <w:bCs/>
          <w:color w:val="000000"/>
          <w:sz w:val="24"/>
          <w:lang w:eastAsia="zh-CN"/>
        </w:rPr>
        <w:t>1</w:t>
      </w:r>
      <w:r w:rsidRPr="001B14EC">
        <w:rPr>
          <w:rFonts w:ascii="宋体" w:hAnsi="宋体" w:hint="eastAsia"/>
          <w:bCs/>
          <w:color w:val="000000"/>
          <w:sz w:val="24"/>
          <w:lang w:eastAsia="zh-CN"/>
        </w:rPr>
        <w:t>）基金份额净值计算出现错误时，基金管理人应当立即予以纠正，通报基金托管人，并采取合理的措施防止损失进一步扩大。</w:t>
      </w:r>
      <w:r w:rsidRPr="001B14EC">
        <w:rPr>
          <w:rFonts w:ascii="宋体" w:hAnsi="宋体"/>
          <w:bCs/>
          <w:color w:val="000000"/>
          <w:sz w:val="24"/>
          <w:lang w:eastAsia="zh-CN"/>
        </w:rPr>
        <w:t xml:space="preserve"> </w:t>
      </w:r>
    </w:p>
    <w:p w:rsidR="00C23D7A" w:rsidRPr="001B14EC" w:rsidRDefault="00C23D7A" w:rsidP="00C23D7A">
      <w:pPr>
        <w:spacing w:line="360" w:lineRule="auto"/>
        <w:ind w:firstLineChars="200" w:firstLine="480"/>
        <w:rPr>
          <w:rFonts w:ascii="宋体" w:hAnsi="宋体"/>
          <w:bCs/>
          <w:color w:val="000000"/>
          <w:sz w:val="24"/>
          <w:lang w:eastAsia="zh-CN"/>
        </w:rPr>
      </w:pPr>
      <w:r w:rsidRPr="001B14EC">
        <w:rPr>
          <w:rFonts w:ascii="宋体" w:hAnsi="宋体" w:hint="eastAsia"/>
          <w:bCs/>
          <w:color w:val="000000"/>
          <w:sz w:val="24"/>
          <w:lang w:eastAsia="zh-CN"/>
        </w:rPr>
        <w:t>（</w:t>
      </w:r>
      <w:r w:rsidRPr="001B14EC">
        <w:rPr>
          <w:rFonts w:ascii="宋体" w:hAnsi="宋体"/>
          <w:bCs/>
          <w:color w:val="000000"/>
          <w:sz w:val="24"/>
          <w:lang w:eastAsia="zh-CN"/>
        </w:rPr>
        <w:t>2</w:t>
      </w:r>
      <w:r w:rsidRPr="001B14EC">
        <w:rPr>
          <w:rFonts w:ascii="宋体" w:hAnsi="宋体" w:hint="eastAsia"/>
          <w:bCs/>
          <w:color w:val="000000"/>
          <w:sz w:val="24"/>
          <w:lang w:eastAsia="zh-CN"/>
        </w:rPr>
        <w:t>）错误偏差达到</w:t>
      </w:r>
      <w:r>
        <w:rPr>
          <w:rFonts w:ascii="宋体" w:hAnsi="宋体" w:hint="eastAsia"/>
          <w:bCs/>
          <w:color w:val="000000"/>
          <w:sz w:val="24"/>
          <w:lang w:eastAsia="zh-CN"/>
        </w:rPr>
        <w:t>该类</w:t>
      </w:r>
      <w:r w:rsidRPr="001B14EC">
        <w:rPr>
          <w:rFonts w:ascii="宋体" w:hAnsi="宋体" w:hint="eastAsia"/>
          <w:bCs/>
          <w:color w:val="000000"/>
          <w:sz w:val="24"/>
          <w:lang w:eastAsia="zh-CN"/>
        </w:rPr>
        <w:t>基金份额净值的</w:t>
      </w:r>
      <w:r w:rsidRPr="001B14EC">
        <w:rPr>
          <w:rFonts w:ascii="宋体" w:hAnsi="宋体"/>
          <w:bCs/>
          <w:color w:val="000000"/>
          <w:sz w:val="24"/>
          <w:lang w:eastAsia="zh-CN"/>
        </w:rPr>
        <w:t>0.25%</w:t>
      </w:r>
      <w:r w:rsidRPr="001B14EC">
        <w:rPr>
          <w:rFonts w:ascii="宋体" w:hAnsi="宋体" w:hint="eastAsia"/>
          <w:bCs/>
          <w:color w:val="000000"/>
          <w:sz w:val="24"/>
          <w:lang w:eastAsia="zh-CN"/>
        </w:rPr>
        <w:t>时，基金管理人应当通报基金托管人并报中国证监会备案；错误偏差达到</w:t>
      </w:r>
      <w:r>
        <w:rPr>
          <w:rFonts w:ascii="宋体" w:hAnsi="宋体" w:hint="eastAsia"/>
          <w:bCs/>
          <w:color w:val="000000"/>
          <w:sz w:val="24"/>
          <w:lang w:eastAsia="zh-CN"/>
        </w:rPr>
        <w:t>该类</w:t>
      </w:r>
      <w:r w:rsidRPr="001B14EC">
        <w:rPr>
          <w:rFonts w:ascii="宋体" w:hAnsi="宋体" w:hint="eastAsia"/>
          <w:bCs/>
          <w:color w:val="000000"/>
          <w:sz w:val="24"/>
          <w:lang w:eastAsia="zh-CN"/>
        </w:rPr>
        <w:t>基金份额净值的</w:t>
      </w:r>
      <w:r w:rsidRPr="001B14EC">
        <w:rPr>
          <w:rFonts w:ascii="宋体" w:hAnsi="宋体"/>
          <w:bCs/>
          <w:color w:val="000000"/>
          <w:sz w:val="24"/>
          <w:lang w:eastAsia="zh-CN"/>
        </w:rPr>
        <w:t>0.5%</w:t>
      </w:r>
      <w:r w:rsidRPr="001B14EC">
        <w:rPr>
          <w:rFonts w:ascii="宋体" w:hAnsi="宋体" w:hint="eastAsia"/>
          <w:bCs/>
          <w:color w:val="000000"/>
          <w:sz w:val="24"/>
          <w:lang w:eastAsia="zh-CN"/>
        </w:rPr>
        <w:t>时，基金管理人应当公告</w:t>
      </w:r>
      <w:r w:rsidRPr="001B14EC">
        <w:rPr>
          <w:bCs/>
          <w:sz w:val="24"/>
          <w:lang w:eastAsia="zh-CN"/>
        </w:rPr>
        <w:t>，并报中国证监会备案</w:t>
      </w:r>
      <w:r w:rsidRPr="001B14EC">
        <w:rPr>
          <w:rFonts w:ascii="宋体" w:hAnsi="宋体" w:hint="eastAsia"/>
          <w:bCs/>
          <w:color w:val="000000"/>
          <w:sz w:val="24"/>
          <w:lang w:eastAsia="zh-CN"/>
        </w:rPr>
        <w:t>。</w:t>
      </w:r>
      <w:r w:rsidRPr="001B14EC">
        <w:rPr>
          <w:rFonts w:ascii="宋体" w:hAnsi="宋体"/>
          <w:bCs/>
          <w:color w:val="000000"/>
          <w:sz w:val="24"/>
          <w:lang w:eastAsia="zh-CN"/>
        </w:rPr>
        <w:t xml:space="preserve"> </w:t>
      </w:r>
    </w:p>
    <w:p w:rsidR="00C23D7A" w:rsidRPr="001B14EC" w:rsidRDefault="00C23D7A" w:rsidP="00C23D7A">
      <w:pPr>
        <w:spacing w:line="360" w:lineRule="auto"/>
        <w:ind w:firstLineChars="200" w:firstLine="480"/>
        <w:rPr>
          <w:rFonts w:ascii="宋体" w:hAnsi="宋体"/>
          <w:bCs/>
          <w:color w:val="000000"/>
          <w:sz w:val="24"/>
          <w:lang w:eastAsia="zh-CN"/>
        </w:rPr>
      </w:pPr>
      <w:r w:rsidRPr="001B14EC">
        <w:rPr>
          <w:rFonts w:ascii="宋体" w:hAnsi="宋体" w:hint="eastAsia"/>
          <w:bCs/>
          <w:color w:val="000000"/>
          <w:sz w:val="24"/>
          <w:lang w:eastAsia="zh-CN"/>
        </w:rPr>
        <w:t>（</w:t>
      </w:r>
      <w:r w:rsidRPr="001B14EC">
        <w:rPr>
          <w:rFonts w:ascii="宋体" w:hAnsi="宋体"/>
          <w:bCs/>
          <w:color w:val="000000"/>
          <w:sz w:val="24"/>
          <w:lang w:eastAsia="zh-CN"/>
        </w:rPr>
        <w:t>3</w:t>
      </w:r>
      <w:r w:rsidRPr="001B14EC">
        <w:rPr>
          <w:rFonts w:ascii="宋体" w:hAnsi="宋体" w:hint="eastAsia"/>
          <w:bCs/>
          <w:color w:val="000000"/>
          <w:sz w:val="24"/>
          <w:lang w:eastAsia="zh-CN"/>
        </w:rPr>
        <w:t>）前述内容如法律法规或监管机关另有规定的，从其规定处理。</w:t>
      </w:r>
      <w:r w:rsidRPr="001B14EC">
        <w:rPr>
          <w:rFonts w:ascii="宋体" w:hAnsi="宋体"/>
          <w:bCs/>
          <w:color w:val="000000"/>
          <w:sz w:val="24"/>
          <w:lang w:eastAsia="zh-CN"/>
        </w:rPr>
        <w:t xml:space="preserve"> </w:t>
      </w:r>
    </w:p>
    <w:p w:rsidR="002169D4" w:rsidRDefault="0026776B">
      <w:pPr>
        <w:tabs>
          <w:tab w:val="left" w:pos="3780"/>
        </w:tabs>
        <w:spacing w:before="156" w:after="156" w:line="360" w:lineRule="auto"/>
        <w:ind w:firstLine="482"/>
        <w:outlineLvl w:val="0"/>
        <w:rPr>
          <w:rFonts w:ascii="宋体"/>
          <w:b/>
          <w:sz w:val="24"/>
          <w:lang w:eastAsia="zh-CN"/>
        </w:rPr>
      </w:pPr>
      <w:bookmarkStart w:id="77" w:name="_DV_M865"/>
      <w:bookmarkStart w:id="78" w:name="_DV_M866"/>
      <w:bookmarkEnd w:id="77"/>
      <w:bookmarkEnd w:id="78"/>
      <w:r>
        <w:rPr>
          <w:rFonts w:ascii="宋体"/>
          <w:b/>
          <w:sz w:val="24"/>
          <w:lang w:eastAsia="zh-CN"/>
        </w:rPr>
        <w:t>（三）暂停估值的</w:t>
      </w:r>
      <w:r>
        <w:rPr>
          <w:rFonts w:ascii="宋体" w:hAnsi="宋体"/>
          <w:b/>
          <w:bCs/>
          <w:sz w:val="24"/>
          <w:lang w:eastAsia="zh-CN"/>
        </w:rPr>
        <w:t>情形</w:t>
      </w:r>
    </w:p>
    <w:p w:rsidR="002169D4" w:rsidRDefault="0026776B">
      <w:pPr>
        <w:spacing w:line="360" w:lineRule="auto"/>
        <w:ind w:firstLine="480"/>
        <w:rPr>
          <w:rFonts w:ascii="宋体" w:hAnsi="宋体"/>
          <w:bCs/>
          <w:sz w:val="24"/>
          <w:lang w:eastAsia="zh-CN"/>
        </w:rPr>
      </w:pPr>
      <w:r>
        <w:rPr>
          <w:rFonts w:ascii="宋体" w:hAnsi="宋体"/>
          <w:bCs/>
          <w:sz w:val="24"/>
          <w:lang w:eastAsia="zh-CN"/>
        </w:rPr>
        <w:t>1、基金投资所涉及的证券/期货交易市场遇法定节假日或因其他原因暂停营业时；</w:t>
      </w:r>
    </w:p>
    <w:p w:rsidR="002169D4" w:rsidRDefault="0026776B">
      <w:pPr>
        <w:spacing w:line="360" w:lineRule="auto"/>
        <w:ind w:firstLine="480"/>
        <w:rPr>
          <w:rFonts w:ascii="宋体" w:hAnsi="宋体"/>
          <w:bCs/>
          <w:sz w:val="24"/>
          <w:lang w:eastAsia="zh-CN"/>
        </w:rPr>
      </w:pPr>
      <w:r>
        <w:rPr>
          <w:rFonts w:ascii="宋体" w:hAnsi="宋体"/>
          <w:bCs/>
          <w:sz w:val="24"/>
          <w:lang w:eastAsia="zh-CN"/>
        </w:rPr>
        <w:t>2、因不可抗力致使基金管理人、基金托管人无法准确评估基金资产价值时；</w:t>
      </w:r>
    </w:p>
    <w:p w:rsidR="002169D4" w:rsidRDefault="0026776B">
      <w:pPr>
        <w:spacing w:line="360" w:lineRule="auto"/>
        <w:ind w:firstLine="480"/>
        <w:rPr>
          <w:rFonts w:ascii="宋体" w:hAnsi="宋体"/>
          <w:bCs/>
          <w:sz w:val="24"/>
          <w:lang w:eastAsia="zh-CN"/>
        </w:rPr>
      </w:pPr>
      <w:r>
        <w:rPr>
          <w:rFonts w:ascii="宋体" w:hAnsi="宋体"/>
          <w:bCs/>
          <w:sz w:val="24"/>
          <w:lang w:eastAsia="zh-CN"/>
        </w:rPr>
        <w:t>3、当特定资产占前一估值日基金资产净值50%以上的，经与基金托管人协商确认后，基金管理人应当暂停估值；</w:t>
      </w:r>
    </w:p>
    <w:p w:rsidR="002169D4" w:rsidRDefault="0026776B">
      <w:pPr>
        <w:spacing w:line="360" w:lineRule="auto"/>
        <w:ind w:firstLine="480"/>
        <w:rPr>
          <w:rFonts w:ascii="宋体" w:hAnsi="宋体"/>
          <w:bCs/>
          <w:sz w:val="24"/>
          <w:lang w:eastAsia="zh-CN"/>
        </w:rPr>
      </w:pPr>
      <w:r>
        <w:rPr>
          <w:rFonts w:ascii="宋体" w:hAnsi="宋体"/>
          <w:bCs/>
          <w:sz w:val="24"/>
          <w:lang w:eastAsia="zh-CN"/>
        </w:rPr>
        <w:t>4、法律法规、中国证监会规定和基金合同认定的其它情形。</w:t>
      </w:r>
    </w:p>
    <w:p w:rsidR="002169D4" w:rsidRDefault="0026776B">
      <w:pPr>
        <w:tabs>
          <w:tab w:val="left" w:pos="3780"/>
        </w:tabs>
        <w:spacing w:before="156" w:after="156" w:line="360" w:lineRule="auto"/>
        <w:outlineLvl w:val="0"/>
        <w:rPr>
          <w:rFonts w:ascii="宋体" w:hAnsi="宋体"/>
          <w:b/>
          <w:bCs/>
          <w:sz w:val="24"/>
          <w:lang w:eastAsia="zh-CN"/>
        </w:rPr>
      </w:pPr>
      <w:r>
        <w:rPr>
          <w:rFonts w:ascii="宋体" w:hAnsi="宋体"/>
          <w:b/>
          <w:bCs/>
          <w:sz w:val="24"/>
          <w:lang w:eastAsia="zh-CN"/>
        </w:rPr>
        <w:t>（四）基金会计制度</w:t>
      </w:r>
    </w:p>
    <w:p w:rsidR="002169D4" w:rsidRDefault="0026776B">
      <w:pPr>
        <w:spacing w:line="360" w:lineRule="auto"/>
        <w:ind w:firstLine="420"/>
        <w:rPr>
          <w:rFonts w:ascii="宋体"/>
          <w:sz w:val="24"/>
          <w:lang w:eastAsia="zh-CN"/>
        </w:rPr>
      </w:pPr>
      <w:r>
        <w:rPr>
          <w:rFonts w:ascii="宋体"/>
          <w:sz w:val="24"/>
          <w:lang w:eastAsia="zh-CN"/>
        </w:rPr>
        <w:t>按国家有关部门制定的会计制度执行。</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（五）基金账册的建立</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（六）会计数据和财务指标的核对</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lastRenderedPageBreak/>
        <w:t>（七）基金定期报告的编制和复核</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财务报表由基金管理人和基金托管人每月分别独立编制。月度报表的编制，应于每月终了后5个工作日内完成。定期报告文件应按中国证监会的要求公告。季度报表的编制，应于每季度终了后15个工作日内完成；</w:t>
      </w:r>
      <w:r>
        <w:rPr>
          <w:sz w:val="24"/>
          <w:lang w:eastAsia="zh-CN"/>
        </w:rPr>
        <w:t>基金招募说明书、基金产品资料概要的信息发生重大变更的，基金管理人应当在</w:t>
      </w:r>
      <w:r>
        <w:rPr>
          <w:sz w:val="24"/>
          <w:lang w:eastAsia="zh-CN"/>
        </w:rPr>
        <w:t>3</w:t>
      </w:r>
      <w:r>
        <w:rPr>
          <w:sz w:val="24"/>
          <w:lang w:eastAsia="zh-CN"/>
        </w:rPr>
        <w:t>个工作日内，更新基金招募说明书和基金产品资料概要并登载在指定网站上；基金招募说明书、基金产品资料概要的其他信息发生变更的，基金管理人至少每年更新一次。</w:t>
      </w:r>
      <w:r>
        <w:rPr>
          <w:rFonts w:ascii="宋体" w:hAnsi="宋体"/>
          <w:sz w:val="24"/>
          <w:lang w:eastAsia="zh-CN"/>
        </w:rPr>
        <w:t>中期报告在</w:t>
      </w:r>
      <w:r>
        <w:rPr>
          <w:rFonts w:ascii="宋体" w:hAnsi="宋体"/>
          <w:bCs/>
          <w:sz w:val="24"/>
          <w:lang w:eastAsia="zh-CN"/>
        </w:rPr>
        <w:t>上半年结束之日起</w:t>
      </w:r>
      <w:r>
        <w:rPr>
          <w:rFonts w:ascii="宋体" w:hAnsi="宋体"/>
          <w:sz w:val="24"/>
          <w:lang w:eastAsia="zh-CN"/>
        </w:rPr>
        <w:t>的2个月内公告；年度报告在</w:t>
      </w:r>
      <w:r>
        <w:rPr>
          <w:rFonts w:ascii="宋体" w:hAnsi="宋体"/>
          <w:bCs/>
          <w:sz w:val="24"/>
          <w:lang w:eastAsia="zh-CN"/>
        </w:rPr>
        <w:t>每年结束之日起</w:t>
      </w:r>
      <w:r>
        <w:rPr>
          <w:rFonts w:ascii="宋体" w:hAnsi="宋体"/>
          <w:sz w:val="24"/>
          <w:lang w:eastAsia="zh-CN"/>
        </w:rPr>
        <w:t>3个月内公告。如果基金合同生效不足2个月的，基金管理人可以不编制当期季度报告、中期报告或者年度报告。</w:t>
      </w:r>
    </w:p>
    <w:p w:rsidR="002169D4" w:rsidRDefault="0026776B">
      <w:pPr>
        <w:tabs>
          <w:tab w:val="left" w:pos="1260"/>
        </w:tabs>
        <w:spacing w:line="360" w:lineRule="auto"/>
        <w:ind w:firstLine="480"/>
        <w:rPr>
          <w:rFonts w:ascii="宋体"/>
          <w:sz w:val="24"/>
          <w:lang w:eastAsia="zh-CN"/>
        </w:rPr>
      </w:pPr>
      <w:r>
        <w:rPr>
          <w:rFonts w:ascii="宋体" w:hAnsi="宋体"/>
          <w:sz w:val="24"/>
          <w:lang w:eastAsia="zh-CN"/>
        </w:rPr>
        <w:t>基金管理人在月度报表完成当日，以约定方式将有关报表提供基金托管人；基金托管人收到后在2个工作日内进行复核，并将复核结果及时书面或以双方约定的其他方式通知基金管理人。对于季度报告、中期报告、年度报告、更新招募说明书、基金产品资料概要等，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基金托管人对上述报告复核完毕后，可以出具复核确认书（盖章）或以其他双方约定的方式确认，以备有权机构对相关文件审核检查。</w:t>
      </w:r>
      <w:bookmarkStart w:id="79" w:name="_Toc466788859"/>
      <w:bookmarkStart w:id="80" w:name="_Toc523830000"/>
      <w:bookmarkStart w:id="81" w:name="_Toc22454461"/>
      <w:bookmarkStart w:id="82" w:name="_Toc125892445"/>
    </w:p>
    <w:p w:rsidR="002169D4" w:rsidRDefault="0026776B">
      <w:pPr>
        <w:pStyle w:val="1"/>
        <w:rPr>
          <w:lang w:eastAsia="zh-CN"/>
        </w:rPr>
      </w:pPr>
      <w:bookmarkStart w:id="83" w:name="_Toc291504137"/>
      <w:r>
        <w:rPr>
          <w:lang w:eastAsia="zh-CN"/>
        </w:rPr>
        <w:t>九、基金收益分配</w:t>
      </w:r>
      <w:bookmarkEnd w:id="79"/>
      <w:bookmarkEnd w:id="80"/>
      <w:bookmarkEnd w:id="81"/>
      <w:bookmarkEnd w:id="82"/>
      <w:bookmarkEnd w:id="83"/>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基金收益分配是指将本基金的可分配收益根据持有基金份额的数量按比例向基金份额持有人进行分配。</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（一）基金收益分配应符合基金合同中收益分配原则的规定，具体规定如下：</w:t>
      </w:r>
    </w:p>
    <w:p w:rsidR="002169D4" w:rsidRDefault="0026776B">
      <w:pPr>
        <w:spacing w:line="360" w:lineRule="auto"/>
        <w:ind w:firstLine="480"/>
        <w:rPr>
          <w:rFonts w:ascii="宋体" w:hAnsi="宋体"/>
          <w:sz w:val="24"/>
          <w:lang w:eastAsia="zh-CN"/>
        </w:rPr>
      </w:pPr>
      <w:r>
        <w:rPr>
          <w:rFonts w:ascii="宋体" w:hAnsi="宋体"/>
          <w:sz w:val="24"/>
          <w:lang w:eastAsia="zh-CN"/>
        </w:rPr>
        <w:t>1、在符合有关基金分红条件的前提下，基金管理人可以根据实际情况进行收益分配，具体分配方案以公告为准，若《基金合同》生效不满3个月可不进行收益分配；</w:t>
      </w:r>
    </w:p>
    <w:p w:rsidR="002169D4" w:rsidRDefault="0026776B">
      <w:pPr>
        <w:spacing w:line="360" w:lineRule="auto"/>
        <w:ind w:firstLine="480"/>
        <w:rPr>
          <w:rFonts w:ascii="宋体" w:hAnsi="宋体"/>
          <w:color w:val="000000"/>
          <w:sz w:val="24"/>
          <w:lang w:eastAsia="zh-CN"/>
        </w:rPr>
      </w:pPr>
      <w:r>
        <w:rPr>
          <w:rFonts w:ascii="宋体" w:hAnsi="宋体"/>
          <w:color w:val="000000"/>
          <w:sz w:val="24"/>
          <w:lang w:eastAsia="zh-CN"/>
        </w:rPr>
        <w:lastRenderedPageBreak/>
        <w:t>2、本基金收益分配方式为现金分红；</w:t>
      </w:r>
    </w:p>
    <w:p w:rsidR="002169D4" w:rsidRDefault="0026776B">
      <w:pPr>
        <w:spacing w:line="360" w:lineRule="auto"/>
        <w:ind w:firstLine="480"/>
        <w:rPr>
          <w:rFonts w:ascii="宋体" w:hAnsi="宋体"/>
          <w:sz w:val="24"/>
          <w:lang w:eastAsia="zh-CN"/>
        </w:rPr>
      </w:pPr>
      <w:r>
        <w:rPr>
          <w:rFonts w:ascii="宋体" w:hAnsi="宋体"/>
          <w:sz w:val="24"/>
          <w:lang w:eastAsia="zh-CN"/>
        </w:rPr>
        <w:t>3、基金收益分配后各类基金份额净值不能低于面值，即基金收益分配基准日的各类基金份额净值减去每单位该类基金份额收益分配金额后不能低于面值；</w:t>
      </w:r>
    </w:p>
    <w:p w:rsidR="002169D4" w:rsidRDefault="0026776B">
      <w:pPr>
        <w:spacing w:line="360" w:lineRule="auto"/>
        <w:ind w:firstLine="480"/>
        <w:rPr>
          <w:rFonts w:ascii="宋体" w:hAnsi="宋体"/>
          <w:sz w:val="24"/>
          <w:lang w:eastAsia="zh-CN"/>
        </w:rPr>
      </w:pPr>
      <w:r>
        <w:rPr>
          <w:rFonts w:ascii="宋体" w:hAnsi="宋体"/>
          <w:sz w:val="24"/>
          <w:lang w:eastAsia="zh-CN"/>
        </w:rPr>
        <w:t>4、</w:t>
      </w:r>
      <w:r>
        <w:rPr>
          <w:rFonts w:ascii="宋体" w:hAnsi="宋体"/>
          <w:bCs/>
          <w:sz w:val="24"/>
          <w:lang w:eastAsia="zh-CN"/>
        </w:rPr>
        <w:t>A类基金份额和C类基金份额之间由于A类基金份额不收取而C类基金份额收取销售服务费将导致在可供分配利润上有所不同；同一类别</w:t>
      </w:r>
      <w:r>
        <w:rPr>
          <w:rFonts w:ascii="宋体" w:hAnsi="宋体"/>
          <w:sz w:val="24"/>
          <w:lang w:eastAsia="zh-CN"/>
        </w:rPr>
        <w:t>每一基金份额享有同等分配权；</w:t>
      </w:r>
    </w:p>
    <w:p w:rsidR="002169D4" w:rsidRDefault="0026776B">
      <w:pPr>
        <w:spacing w:line="360" w:lineRule="auto"/>
        <w:ind w:firstLine="480"/>
        <w:rPr>
          <w:rFonts w:ascii="宋体" w:hAnsi="宋体"/>
          <w:sz w:val="24"/>
          <w:lang w:eastAsia="zh-CN"/>
        </w:rPr>
      </w:pPr>
      <w:r>
        <w:rPr>
          <w:rFonts w:ascii="宋体" w:hAnsi="宋体"/>
          <w:sz w:val="24"/>
          <w:lang w:eastAsia="zh-CN"/>
        </w:rPr>
        <w:t>5、法律法规或监管机关另有规定的，从其规定。</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（二）基金收益分配方案的确定与公告</w:t>
      </w:r>
    </w:p>
    <w:p w:rsidR="002169D4" w:rsidRDefault="0026776B">
      <w:pPr>
        <w:spacing w:line="360" w:lineRule="auto"/>
        <w:ind w:firstLine="480"/>
        <w:rPr>
          <w:rFonts w:ascii="宋体" w:hAnsi="宋体"/>
          <w:sz w:val="24"/>
          <w:lang w:eastAsia="zh-CN"/>
        </w:rPr>
      </w:pPr>
      <w:bookmarkStart w:id="84" w:name="_Toc466788861"/>
      <w:bookmarkStart w:id="85" w:name="_Toc523830002"/>
      <w:bookmarkStart w:id="86" w:name="_Toc22454465"/>
      <w:r>
        <w:rPr>
          <w:rFonts w:ascii="宋体" w:hAnsi="宋体"/>
          <w:sz w:val="24"/>
          <w:lang w:eastAsia="zh-CN"/>
        </w:rPr>
        <w:t>本基金收益分配方案由基金管理人拟定，并由基金托管人复核，</w:t>
      </w:r>
      <w:r>
        <w:rPr>
          <w:rFonts w:ascii="宋体" w:hAnsi="宋体"/>
          <w:bCs/>
          <w:sz w:val="24"/>
          <w:lang w:eastAsia="zh-CN"/>
        </w:rPr>
        <w:t>依照《信息披露办法》的有关规定</w:t>
      </w:r>
      <w:r>
        <w:rPr>
          <w:rFonts w:ascii="宋体" w:hAnsi="宋体"/>
          <w:sz w:val="24"/>
          <w:lang w:eastAsia="zh-CN"/>
        </w:rPr>
        <w:t>在规定媒介公告。</w:t>
      </w:r>
    </w:p>
    <w:p w:rsidR="002169D4" w:rsidRDefault="0026776B">
      <w:pPr>
        <w:pStyle w:val="1"/>
        <w:rPr>
          <w:lang w:eastAsia="zh-CN"/>
        </w:rPr>
      </w:pPr>
      <w:bookmarkStart w:id="87" w:name="_Toc125892446"/>
      <w:bookmarkStart w:id="88" w:name="_Toc291504138"/>
      <w:r>
        <w:rPr>
          <w:lang w:eastAsia="zh-CN"/>
        </w:rPr>
        <w:t>十、基金信息披露</w:t>
      </w:r>
      <w:bookmarkEnd w:id="84"/>
      <w:bookmarkEnd w:id="85"/>
      <w:bookmarkEnd w:id="86"/>
      <w:bookmarkEnd w:id="87"/>
      <w:bookmarkEnd w:id="88"/>
    </w:p>
    <w:p w:rsidR="002169D4" w:rsidRDefault="0026776B">
      <w:pPr>
        <w:tabs>
          <w:tab w:val="left" w:pos="3780"/>
        </w:tabs>
        <w:spacing w:before="156" w:after="156" w:line="360" w:lineRule="auto"/>
        <w:outlineLvl w:val="0"/>
        <w:rPr>
          <w:rFonts w:ascii="宋体"/>
          <w:b/>
          <w:bCs/>
          <w:sz w:val="24"/>
          <w:lang w:eastAsia="zh-CN"/>
        </w:rPr>
      </w:pPr>
      <w:bookmarkStart w:id="89" w:name="_Toc22454466"/>
      <w:bookmarkStart w:id="90" w:name="_Toc77663026"/>
      <w:r>
        <w:rPr>
          <w:rFonts w:ascii="宋体" w:hAnsi="宋体"/>
          <w:b/>
          <w:bCs/>
          <w:sz w:val="24"/>
          <w:lang w:eastAsia="zh-CN"/>
        </w:rPr>
        <w:t>（一）保密义务</w:t>
      </w:r>
      <w:bookmarkEnd w:id="89"/>
      <w:bookmarkEnd w:id="90"/>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如下情况不应视为基金管理人或基金托管人违反保密义务：</w:t>
      </w:r>
    </w:p>
    <w:p w:rsidR="002169D4" w:rsidRDefault="0026776B">
      <w:pPr>
        <w:tabs>
          <w:tab w:val="num" w:pos="1260"/>
        </w:tabs>
        <w:spacing w:line="360" w:lineRule="auto"/>
        <w:ind w:firstLine="480"/>
        <w:rPr>
          <w:rFonts w:ascii="宋体" w:hAnsi="宋体"/>
          <w:sz w:val="24"/>
          <w:lang w:eastAsia="zh-CN"/>
        </w:rPr>
      </w:pPr>
      <w:r>
        <w:rPr>
          <w:rFonts w:ascii="宋体" w:hAnsi="宋体"/>
          <w:sz w:val="24"/>
          <w:lang w:eastAsia="zh-CN"/>
        </w:rPr>
        <w:t>1.非因基金管理人和基金托管人的原因导致保密信息被披露、泄露或公开；</w:t>
      </w:r>
    </w:p>
    <w:p w:rsidR="002169D4" w:rsidRDefault="0026776B">
      <w:pPr>
        <w:tabs>
          <w:tab w:val="num" w:pos="1260"/>
        </w:tabs>
        <w:spacing w:line="360" w:lineRule="auto"/>
        <w:ind w:firstLine="480"/>
        <w:rPr>
          <w:rFonts w:ascii="宋体"/>
          <w:sz w:val="24"/>
          <w:lang w:eastAsia="zh-CN"/>
        </w:rPr>
      </w:pPr>
      <w:r>
        <w:rPr>
          <w:rFonts w:ascii="宋体"/>
          <w:sz w:val="24"/>
          <w:lang w:eastAsia="zh-CN"/>
        </w:rPr>
        <w:t>2.因审计、法律等向外部专业顾问提供的情况；</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3.基金管理人和基金托管人为遵守和服从法院判决、仲裁裁决或中国证监会等监管机构的命令决定所做出的信息披露或公开。</w:t>
      </w:r>
      <w:bookmarkStart w:id="91" w:name="_Toc22454467"/>
      <w:bookmarkStart w:id="92" w:name="_Toc77663027"/>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（二）基金管理人和基金托管人在基金信息披露中的职责和信息披露程序</w:t>
      </w:r>
      <w:bookmarkEnd w:id="91"/>
      <w:bookmarkEnd w:id="92"/>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2169D4" w:rsidRPr="002169D4" w:rsidRDefault="0026776B">
      <w:pPr>
        <w:spacing w:line="360" w:lineRule="auto"/>
        <w:ind w:firstLine="480"/>
        <w:rPr>
          <w:rFonts w:ascii="宋体" w:hAnsi="宋体"/>
          <w:bCs/>
          <w:sz w:val="24"/>
          <w:lang w:eastAsia="zh-CN"/>
        </w:rPr>
      </w:pPr>
      <w:r>
        <w:rPr>
          <w:rFonts w:ascii="宋体" w:hAnsi="宋体"/>
          <w:sz w:val="24"/>
          <w:lang w:eastAsia="zh-CN"/>
        </w:rPr>
        <w:lastRenderedPageBreak/>
        <w:t>本基金信息披露的文件，包括基金招募说明书、基金合同、基金托管协议、基金产品资料概要、基金份额发售公告、基金合同生效公告、基金净值信息、</w:t>
      </w:r>
      <w:r>
        <w:rPr>
          <w:rFonts w:ascii="宋体" w:hAnsi="宋体"/>
          <w:bCs/>
          <w:sz w:val="24"/>
          <w:lang w:eastAsia="zh-CN"/>
        </w:rPr>
        <w:t>基金份额申购、赎回价格、</w:t>
      </w:r>
      <w:r>
        <w:rPr>
          <w:rFonts w:ascii="宋体" w:hAnsi="宋体"/>
          <w:sz w:val="24"/>
          <w:lang w:eastAsia="zh-CN"/>
        </w:rPr>
        <w:t>基金合同规定的定期报告（包括基金年度报告、中期报告和基金季度报告）、临时报告、澄清公告、基金份额持有人大会决议、清算报告及其提示性公告、</w:t>
      </w:r>
      <w:r>
        <w:rPr>
          <w:rFonts w:ascii="宋体" w:hAnsi="宋体"/>
          <w:bCs/>
          <w:sz w:val="24"/>
          <w:lang w:eastAsia="zh-CN"/>
        </w:rPr>
        <w:t>基金投资资产支持证券的信息披露、基金投资股指期货的信息披露、</w:t>
      </w:r>
      <w:r>
        <w:rPr>
          <w:bCs/>
          <w:sz w:val="24"/>
          <w:lang w:eastAsia="zh-CN"/>
        </w:rPr>
        <w:t>投资于非公开发行股票等流通受限证券的信息</w:t>
      </w:r>
      <w:r>
        <w:rPr>
          <w:rFonts w:ascii="宋体" w:hAnsi="宋体"/>
          <w:bCs/>
          <w:sz w:val="24"/>
          <w:lang w:eastAsia="zh-CN"/>
        </w:rPr>
        <w:t>披露、</w:t>
      </w:r>
      <w:r>
        <w:rPr>
          <w:bCs/>
          <w:sz w:val="24"/>
          <w:lang w:eastAsia="zh-CN"/>
        </w:rPr>
        <w:t>投资于证券公司短期公司债的信息披露、</w:t>
      </w:r>
      <w:r>
        <w:rPr>
          <w:rFonts w:ascii="宋体" w:hAnsi="宋体"/>
          <w:bCs/>
          <w:sz w:val="24"/>
          <w:lang w:eastAsia="zh-CN"/>
        </w:rPr>
        <w:t>实施侧袋机制期间的信息披露</w:t>
      </w:r>
      <w:r>
        <w:rPr>
          <w:rFonts w:ascii="宋体" w:hAnsi="宋体"/>
          <w:sz w:val="24"/>
          <w:lang w:eastAsia="zh-CN"/>
        </w:rPr>
        <w:t>及中国证监会规定的其他必要的公告文件，由基金管理人拟定并公布。</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基金托管人应按本协议第八条第（七）款的规定对相关报告进行复核。基金年报应当经过</w:t>
      </w:r>
      <w:r>
        <w:rPr>
          <w:rFonts w:ascii="宋体" w:hAnsi="宋体"/>
          <w:bCs/>
          <w:sz w:val="24"/>
          <w:lang w:eastAsia="zh-CN"/>
        </w:rPr>
        <w:t>符合《中华人民共和国证券法》规定</w:t>
      </w:r>
      <w:r>
        <w:rPr>
          <w:rFonts w:ascii="宋体" w:hAnsi="宋体"/>
          <w:sz w:val="24"/>
          <w:lang w:eastAsia="zh-CN"/>
        </w:rPr>
        <w:t>的会计师事务所审计后方可披露。</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本基金的信息披露公告，必须在证监会指定的媒介发布。</w:t>
      </w:r>
      <w:bookmarkStart w:id="93" w:name="_Toc466788862"/>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（三）暂停或延迟信息披露的情形</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1、基金投资所涉及的证券、期货交易所遇法定节假日或因其他原因暂停营业时； </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2、因不可抗力或其他情形致使基金管理人、基金托管人无法准确评估基金资产价值时； </w:t>
      </w:r>
    </w:p>
    <w:p w:rsidR="002169D4" w:rsidRDefault="0026776B">
      <w:pPr>
        <w:spacing w:line="360" w:lineRule="auto"/>
        <w:ind w:firstLine="480"/>
        <w:rPr>
          <w:rFonts w:ascii="宋体" w:hAnsi="宋体"/>
          <w:bCs/>
          <w:sz w:val="24"/>
          <w:lang w:eastAsia="zh-CN"/>
        </w:rPr>
      </w:pPr>
      <w:r>
        <w:rPr>
          <w:rFonts w:ascii="宋体" w:hAnsi="宋体"/>
          <w:bCs/>
          <w:sz w:val="24"/>
          <w:lang w:eastAsia="zh-CN"/>
        </w:rPr>
        <w:t>3、发生暂停估值的情形；</w:t>
      </w:r>
    </w:p>
    <w:p w:rsidR="002169D4" w:rsidRDefault="0026776B">
      <w:pPr>
        <w:spacing w:line="360" w:lineRule="auto"/>
        <w:ind w:firstLine="480"/>
        <w:rPr>
          <w:b/>
          <w:bCs/>
          <w:lang w:eastAsia="zh-CN"/>
        </w:rPr>
      </w:pPr>
      <w:r>
        <w:rPr>
          <w:rFonts w:ascii="宋体" w:hAnsi="宋体"/>
          <w:bCs/>
          <w:sz w:val="24"/>
          <w:lang w:eastAsia="zh-CN"/>
        </w:rPr>
        <w:t>4、法律法规规定、中国证监会或《基金合同》认定的其他情形。</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（四）基金托管人报告</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基金托管人应按《基金法》和中国证监会的有关规定出具基金托管情况报告。基金托管人报告说明该半年度/年度基金托管人和基金管理人履行《基金合同》的情况，是基金中期报告和年度报告的组成部分。</w:t>
      </w:r>
      <w:bookmarkStart w:id="94" w:name="_Toc125892447"/>
    </w:p>
    <w:p w:rsidR="002169D4" w:rsidRDefault="0026776B">
      <w:pPr>
        <w:pStyle w:val="1"/>
        <w:rPr>
          <w:lang w:eastAsia="zh-CN"/>
        </w:rPr>
      </w:pPr>
      <w:bookmarkStart w:id="95" w:name="_Toc291504139"/>
      <w:r>
        <w:rPr>
          <w:lang w:eastAsia="zh-CN"/>
        </w:rPr>
        <w:t>十一、基金费用</w:t>
      </w:r>
      <w:bookmarkEnd w:id="94"/>
      <w:bookmarkEnd w:id="95"/>
    </w:p>
    <w:p w:rsidR="002169D4" w:rsidRDefault="0026776B">
      <w:pPr>
        <w:tabs>
          <w:tab w:val="num" w:pos="1260"/>
        </w:tabs>
        <w:spacing w:line="360" w:lineRule="auto"/>
        <w:ind w:firstLine="482"/>
        <w:rPr>
          <w:rFonts w:ascii="宋体"/>
          <w:b/>
          <w:sz w:val="24"/>
          <w:lang w:eastAsia="zh-CN"/>
        </w:rPr>
      </w:pPr>
      <w:r>
        <w:rPr>
          <w:rFonts w:ascii="宋体" w:hAnsi="宋体"/>
          <w:b/>
          <w:sz w:val="24"/>
          <w:lang w:eastAsia="zh-CN"/>
        </w:rPr>
        <w:t>（一）基金管理人的管理费</w:t>
      </w:r>
    </w:p>
    <w:p w:rsidR="002169D4" w:rsidRDefault="0026776B">
      <w:pPr>
        <w:spacing w:line="360" w:lineRule="auto"/>
        <w:ind w:firstLine="480"/>
        <w:rPr>
          <w:rFonts w:ascii="宋体" w:hAnsi="宋体"/>
          <w:bCs/>
          <w:sz w:val="24"/>
          <w:lang w:eastAsia="zh-CN"/>
        </w:rPr>
      </w:pPr>
      <w:r>
        <w:rPr>
          <w:rFonts w:ascii="宋体" w:hAnsi="宋体"/>
          <w:bCs/>
          <w:sz w:val="24"/>
          <w:lang w:eastAsia="zh-CN"/>
        </w:rPr>
        <w:t>本基金的管理费按前一日基金资产净值的1.5%年费率计提。管理费的计算方法如下：</w:t>
      </w:r>
    </w:p>
    <w:p w:rsidR="002169D4" w:rsidRDefault="0026776B">
      <w:pPr>
        <w:spacing w:line="360" w:lineRule="auto"/>
        <w:ind w:firstLine="480"/>
        <w:rPr>
          <w:rFonts w:ascii="宋体" w:hAnsi="宋体"/>
          <w:bCs/>
          <w:sz w:val="24"/>
          <w:lang w:eastAsia="zh-CN"/>
        </w:rPr>
      </w:pPr>
      <w:r>
        <w:rPr>
          <w:rFonts w:ascii="宋体" w:hAnsi="宋体"/>
          <w:bCs/>
          <w:sz w:val="24"/>
          <w:lang w:eastAsia="zh-CN"/>
        </w:rPr>
        <w:t>H＝E×1.5%÷当年天数</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H为每日应计提的基金管理费</w:t>
      </w:r>
    </w:p>
    <w:p w:rsidR="002169D4" w:rsidRDefault="0026776B">
      <w:pPr>
        <w:spacing w:line="360" w:lineRule="auto"/>
        <w:ind w:firstLine="480"/>
        <w:rPr>
          <w:rFonts w:ascii="宋体" w:hAnsi="宋体"/>
          <w:bCs/>
          <w:sz w:val="24"/>
          <w:lang w:eastAsia="zh-CN"/>
        </w:rPr>
      </w:pPr>
      <w:r>
        <w:rPr>
          <w:rFonts w:ascii="宋体" w:hAnsi="宋体"/>
          <w:bCs/>
          <w:sz w:val="24"/>
          <w:lang w:eastAsia="zh-CN"/>
        </w:rPr>
        <w:t>E为前一日的基金资产净值</w:t>
      </w:r>
    </w:p>
    <w:p w:rsidR="002169D4" w:rsidRDefault="0026776B">
      <w:pPr>
        <w:spacing w:line="360" w:lineRule="auto"/>
        <w:ind w:firstLine="480"/>
        <w:rPr>
          <w:rFonts w:ascii="宋体" w:hAnsi="宋体"/>
          <w:bCs/>
          <w:sz w:val="24"/>
          <w:lang w:eastAsia="zh-CN"/>
        </w:rPr>
      </w:pPr>
      <w:r>
        <w:rPr>
          <w:rFonts w:ascii="宋体" w:hAnsi="宋体"/>
          <w:bCs/>
          <w:sz w:val="24"/>
          <w:lang w:eastAsia="zh-CN"/>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2169D4" w:rsidRDefault="0026776B">
      <w:pPr>
        <w:tabs>
          <w:tab w:val="num" w:pos="1260"/>
        </w:tabs>
        <w:spacing w:line="360" w:lineRule="auto"/>
        <w:ind w:firstLine="482"/>
        <w:rPr>
          <w:rFonts w:ascii="宋体"/>
          <w:b/>
          <w:sz w:val="24"/>
          <w:lang w:eastAsia="zh-CN"/>
        </w:rPr>
      </w:pPr>
      <w:r>
        <w:rPr>
          <w:rFonts w:ascii="宋体" w:hAnsi="宋体"/>
          <w:b/>
          <w:sz w:val="24"/>
          <w:lang w:eastAsia="zh-CN"/>
        </w:rPr>
        <w:t>（二）基金托管人的托管费</w:t>
      </w:r>
    </w:p>
    <w:p w:rsidR="002169D4" w:rsidRDefault="0026776B">
      <w:pPr>
        <w:spacing w:line="360" w:lineRule="auto"/>
        <w:ind w:firstLine="480"/>
        <w:rPr>
          <w:rFonts w:ascii="宋体" w:hAnsi="宋体"/>
          <w:bCs/>
          <w:sz w:val="24"/>
          <w:lang w:eastAsia="zh-CN"/>
        </w:rPr>
      </w:pPr>
      <w:r>
        <w:rPr>
          <w:rFonts w:ascii="宋体" w:hAnsi="宋体"/>
          <w:bCs/>
          <w:sz w:val="24"/>
          <w:lang w:eastAsia="zh-CN"/>
        </w:rPr>
        <w:t>本基金的托管费按前一日基金资产净值的0.2%的年费率计提。托管费的计算方法如下：</w:t>
      </w:r>
    </w:p>
    <w:p w:rsidR="002169D4" w:rsidRDefault="0026776B">
      <w:pPr>
        <w:spacing w:line="360" w:lineRule="auto"/>
        <w:ind w:firstLine="480"/>
        <w:rPr>
          <w:rFonts w:ascii="宋体" w:hAnsi="宋体"/>
          <w:bCs/>
          <w:sz w:val="24"/>
          <w:lang w:eastAsia="zh-CN"/>
        </w:rPr>
      </w:pPr>
      <w:r>
        <w:rPr>
          <w:rFonts w:ascii="宋体" w:hAnsi="宋体"/>
          <w:bCs/>
          <w:sz w:val="24"/>
          <w:lang w:eastAsia="zh-CN"/>
        </w:rPr>
        <w:t>H＝E×0.2%÷当年天数</w:t>
      </w:r>
    </w:p>
    <w:p w:rsidR="002169D4" w:rsidRDefault="0026776B">
      <w:pPr>
        <w:spacing w:line="360" w:lineRule="auto"/>
        <w:ind w:firstLine="480"/>
        <w:rPr>
          <w:rFonts w:ascii="宋体" w:hAnsi="宋体"/>
          <w:bCs/>
          <w:sz w:val="24"/>
          <w:lang w:eastAsia="zh-CN"/>
        </w:rPr>
      </w:pPr>
      <w:r>
        <w:rPr>
          <w:rFonts w:ascii="宋体" w:hAnsi="宋体"/>
          <w:bCs/>
          <w:sz w:val="24"/>
          <w:lang w:eastAsia="zh-CN"/>
        </w:rPr>
        <w:t>H为每日应计提的基金托管费</w:t>
      </w:r>
    </w:p>
    <w:p w:rsidR="002169D4" w:rsidRDefault="0026776B">
      <w:pPr>
        <w:spacing w:line="360" w:lineRule="auto"/>
        <w:ind w:firstLine="480"/>
        <w:rPr>
          <w:rFonts w:ascii="宋体" w:hAnsi="宋体"/>
          <w:bCs/>
          <w:sz w:val="24"/>
          <w:lang w:eastAsia="zh-CN"/>
        </w:rPr>
      </w:pPr>
      <w:r>
        <w:rPr>
          <w:rFonts w:ascii="宋体" w:hAnsi="宋体"/>
          <w:bCs/>
          <w:sz w:val="24"/>
          <w:lang w:eastAsia="zh-CN"/>
        </w:rPr>
        <w:t>E为前一日的基金资产净值</w:t>
      </w:r>
    </w:p>
    <w:p w:rsidR="002169D4" w:rsidRDefault="0026776B">
      <w:pPr>
        <w:spacing w:line="360" w:lineRule="auto"/>
        <w:ind w:firstLine="480"/>
        <w:rPr>
          <w:rFonts w:ascii="宋体" w:hAnsi="宋体"/>
          <w:bCs/>
          <w:sz w:val="24"/>
          <w:lang w:eastAsia="zh-CN"/>
        </w:rPr>
      </w:pPr>
      <w:r>
        <w:rPr>
          <w:rFonts w:ascii="宋体" w:hAnsi="宋体"/>
          <w:bCs/>
          <w:sz w:val="24"/>
          <w:lang w:eastAsia="zh-CN"/>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rsidR="002169D4" w:rsidRDefault="0026776B">
      <w:pPr>
        <w:spacing w:line="360" w:lineRule="auto"/>
        <w:ind w:firstLine="482"/>
        <w:rPr>
          <w:rFonts w:ascii="宋体" w:hAnsi="宋体"/>
          <w:b/>
          <w:bCs/>
          <w:sz w:val="24"/>
          <w:lang w:eastAsia="zh-CN"/>
        </w:rPr>
      </w:pPr>
      <w:r>
        <w:rPr>
          <w:rFonts w:ascii="宋体" w:hAnsi="宋体"/>
          <w:b/>
          <w:bCs/>
          <w:sz w:val="24"/>
          <w:lang w:eastAsia="zh-CN"/>
        </w:rPr>
        <w:t>（三）C类基金份额的销售服务费</w:t>
      </w:r>
    </w:p>
    <w:p w:rsidR="002169D4" w:rsidRDefault="0026776B">
      <w:pPr>
        <w:spacing w:line="360" w:lineRule="auto"/>
        <w:ind w:firstLine="480"/>
        <w:rPr>
          <w:rFonts w:ascii="宋体" w:hAnsi="宋体"/>
          <w:bCs/>
          <w:sz w:val="24"/>
          <w:lang w:eastAsia="zh-CN"/>
        </w:rPr>
      </w:pPr>
      <w:r>
        <w:rPr>
          <w:rFonts w:ascii="宋体" w:hAnsi="宋体"/>
          <w:bCs/>
          <w:sz w:val="24"/>
          <w:lang w:eastAsia="zh-CN"/>
        </w:rPr>
        <w:t>本基金A类基金份额不收取销售服务费，C类基金份额的销售服务费年费率为0.</w:t>
      </w:r>
      <w:r w:rsidR="00631FBB">
        <w:rPr>
          <w:rFonts w:ascii="宋体" w:hAnsi="宋体" w:hint="eastAsia"/>
          <w:bCs/>
          <w:sz w:val="24"/>
          <w:lang w:eastAsia="zh-CN"/>
        </w:rPr>
        <w:t>8</w:t>
      </w:r>
      <w:r>
        <w:rPr>
          <w:rFonts w:ascii="宋体" w:hAnsi="宋体"/>
          <w:bCs/>
          <w:sz w:val="24"/>
          <w:lang w:eastAsia="zh-CN"/>
        </w:rPr>
        <w:t>%，按前一日C类基金资产净值的0.</w:t>
      </w:r>
      <w:r w:rsidR="00631FBB">
        <w:rPr>
          <w:rFonts w:ascii="宋体" w:hAnsi="宋体" w:hint="eastAsia"/>
          <w:bCs/>
          <w:sz w:val="24"/>
          <w:lang w:eastAsia="zh-CN"/>
        </w:rPr>
        <w:t>8</w:t>
      </w:r>
      <w:r>
        <w:rPr>
          <w:rFonts w:ascii="宋体" w:hAnsi="宋体"/>
          <w:bCs/>
          <w:sz w:val="24"/>
          <w:lang w:eastAsia="zh-CN"/>
        </w:rPr>
        <w:t>%年费率计提。</w:t>
      </w:r>
    </w:p>
    <w:p w:rsidR="002169D4" w:rsidRDefault="0026776B">
      <w:pPr>
        <w:spacing w:line="360" w:lineRule="auto"/>
        <w:ind w:firstLine="480"/>
        <w:rPr>
          <w:rFonts w:ascii="宋体" w:hAnsi="宋体"/>
          <w:bCs/>
          <w:sz w:val="24"/>
          <w:lang w:eastAsia="zh-CN"/>
        </w:rPr>
      </w:pPr>
      <w:r>
        <w:rPr>
          <w:rFonts w:ascii="宋体" w:hAnsi="宋体"/>
          <w:bCs/>
          <w:sz w:val="24"/>
          <w:lang w:eastAsia="zh-CN"/>
        </w:rPr>
        <w:t>销售服务费的计算方法如下：</w:t>
      </w:r>
    </w:p>
    <w:p w:rsidR="002169D4" w:rsidRDefault="0026776B">
      <w:pPr>
        <w:spacing w:line="360" w:lineRule="auto"/>
        <w:ind w:firstLine="480"/>
        <w:rPr>
          <w:rFonts w:ascii="宋体" w:hAnsi="宋体"/>
          <w:bCs/>
          <w:sz w:val="24"/>
          <w:lang w:eastAsia="zh-CN"/>
        </w:rPr>
      </w:pPr>
      <w:r>
        <w:rPr>
          <w:rFonts w:ascii="宋体" w:hAnsi="宋体"/>
          <w:bCs/>
          <w:sz w:val="24"/>
          <w:lang w:eastAsia="zh-CN"/>
        </w:rPr>
        <w:t>H＝E×0.</w:t>
      </w:r>
      <w:r w:rsidR="00631FBB">
        <w:rPr>
          <w:rFonts w:ascii="宋体" w:hAnsi="宋体" w:hint="eastAsia"/>
          <w:bCs/>
          <w:sz w:val="24"/>
          <w:lang w:eastAsia="zh-CN"/>
        </w:rPr>
        <w:t>8</w:t>
      </w:r>
      <w:r>
        <w:rPr>
          <w:rFonts w:ascii="宋体" w:hAnsi="宋体"/>
          <w:bCs/>
          <w:sz w:val="24"/>
          <w:lang w:eastAsia="zh-CN"/>
        </w:rPr>
        <w:t>%÷当年天数</w:t>
      </w:r>
    </w:p>
    <w:p w:rsidR="002169D4" w:rsidRDefault="0026776B">
      <w:pPr>
        <w:spacing w:line="360" w:lineRule="auto"/>
        <w:ind w:firstLine="480"/>
        <w:rPr>
          <w:rFonts w:ascii="宋体" w:hAnsi="宋体"/>
          <w:bCs/>
          <w:sz w:val="24"/>
          <w:lang w:eastAsia="zh-CN"/>
        </w:rPr>
      </w:pPr>
      <w:r>
        <w:rPr>
          <w:rFonts w:ascii="宋体" w:hAnsi="宋体"/>
          <w:bCs/>
          <w:sz w:val="24"/>
          <w:lang w:eastAsia="zh-CN"/>
        </w:rPr>
        <w:t>H为C类基金份额每日应计提的销售服务费</w:t>
      </w:r>
    </w:p>
    <w:p w:rsidR="002169D4" w:rsidRDefault="0026776B">
      <w:pPr>
        <w:spacing w:line="360" w:lineRule="auto"/>
        <w:ind w:firstLine="480"/>
        <w:rPr>
          <w:rFonts w:ascii="宋体" w:hAnsi="宋体"/>
          <w:bCs/>
          <w:sz w:val="24"/>
          <w:lang w:eastAsia="zh-CN"/>
        </w:rPr>
      </w:pPr>
      <w:r>
        <w:rPr>
          <w:rFonts w:ascii="宋体" w:hAnsi="宋体"/>
          <w:bCs/>
          <w:sz w:val="24"/>
          <w:lang w:eastAsia="zh-CN"/>
        </w:rPr>
        <w:t>E为前一日C类基金份额的基金资产净值</w:t>
      </w:r>
    </w:p>
    <w:p w:rsidR="002169D4" w:rsidRDefault="0026776B">
      <w:pPr>
        <w:spacing w:line="360" w:lineRule="auto"/>
        <w:ind w:firstLine="480"/>
        <w:rPr>
          <w:rFonts w:ascii="宋体" w:hAnsi="宋体"/>
          <w:bCs/>
          <w:sz w:val="24"/>
          <w:lang w:eastAsia="zh-CN"/>
        </w:rPr>
      </w:pPr>
      <w:r>
        <w:rPr>
          <w:rFonts w:ascii="宋体" w:hAnsi="宋体"/>
          <w:bCs/>
          <w:sz w:val="24"/>
          <w:lang w:eastAsia="zh-CN"/>
        </w:rPr>
        <w:t>销售服务费每日计提，逐日累计至每月月末，按月支付，经基金管理人与基金托管人双方核对无误后，基金托管人按照与基金管理人协商一致的方式于次月前5个工作日内从基金财产中一次性向基金管理人划出，由基金管理人代收后按照相关协议支付给各个基金销售机构。若遇法定节假日、公休日等，支付日期顺延。</w:t>
      </w:r>
    </w:p>
    <w:p w:rsidR="002169D4" w:rsidRDefault="002169D4">
      <w:pPr>
        <w:spacing w:line="360" w:lineRule="auto"/>
        <w:ind w:firstLine="482"/>
        <w:rPr>
          <w:rFonts w:ascii="宋体"/>
          <w:b/>
          <w:vanish/>
          <w:sz w:val="24"/>
          <w:lang w:eastAsia="zh-CN"/>
        </w:rPr>
      </w:pPr>
    </w:p>
    <w:p w:rsidR="002169D4" w:rsidRDefault="0026776B">
      <w:pPr>
        <w:spacing w:line="360" w:lineRule="auto"/>
        <w:ind w:firstLine="482"/>
        <w:rPr>
          <w:rFonts w:ascii="宋体"/>
          <w:sz w:val="24"/>
          <w:lang w:eastAsia="zh-CN"/>
        </w:rPr>
      </w:pPr>
      <w:r>
        <w:rPr>
          <w:rFonts w:ascii="宋体" w:hAnsi="宋体"/>
          <w:b/>
          <w:sz w:val="24"/>
          <w:lang w:eastAsia="zh-CN"/>
        </w:rPr>
        <w:t>（四）</w:t>
      </w:r>
      <w:r>
        <w:rPr>
          <w:rFonts w:ascii="宋体" w:hAnsi="宋体"/>
          <w:sz w:val="24"/>
          <w:lang w:eastAsia="zh-CN"/>
        </w:rPr>
        <w:t>从基金资产中列支基金管理人的管理费、基金托管人的托管费之外的其他基金费用，应当依据有关法律法规、《基金合同》的规定；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基金管理人、基金托管人除按法律法规要求披露信息外自主披露如产生信息披露费用，该费用不得从基金财产中列支；基金托管人对不符合《基金法》、《运作办法》等有关规定以及《基金合同》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2169D4" w:rsidRDefault="002169D4">
      <w:pPr>
        <w:spacing w:line="360" w:lineRule="auto"/>
        <w:ind w:firstLine="482"/>
        <w:rPr>
          <w:rFonts w:ascii="宋体"/>
          <w:b/>
          <w:vanish/>
          <w:sz w:val="24"/>
          <w:lang w:eastAsia="zh-CN"/>
        </w:rPr>
      </w:pPr>
    </w:p>
    <w:p w:rsidR="002169D4" w:rsidRDefault="0026776B">
      <w:pPr>
        <w:pStyle w:val="1"/>
        <w:rPr>
          <w:lang w:eastAsia="zh-CN"/>
        </w:rPr>
      </w:pPr>
      <w:bookmarkStart w:id="96" w:name="_Toc125892448"/>
      <w:bookmarkStart w:id="97" w:name="_Toc291504140"/>
      <w:r>
        <w:rPr>
          <w:lang w:eastAsia="zh-CN"/>
        </w:rPr>
        <w:t>十二、基金份额持有人名册的保管</w:t>
      </w:r>
      <w:bookmarkEnd w:id="96"/>
      <w:bookmarkEnd w:id="97"/>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基金管理人可委托基金登记机构登记和保管基金份额持有人名册。基金份额持有人名册的内容包括但不限于基金份额持有人的名称和持有的基金份额。</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基金管理人应根据基金托管人的要求定期和不定期向基金托管人提供基金份额持有人名册。</w:t>
      </w:r>
    </w:p>
    <w:p w:rsidR="002169D4" w:rsidRDefault="0026776B">
      <w:pPr>
        <w:tabs>
          <w:tab w:val="num" w:pos="1260"/>
        </w:tabs>
        <w:spacing w:line="360" w:lineRule="auto"/>
        <w:ind w:firstLine="482"/>
        <w:rPr>
          <w:rFonts w:ascii="宋体"/>
          <w:sz w:val="24"/>
          <w:lang w:eastAsia="zh-CN"/>
        </w:rPr>
      </w:pPr>
      <w:r>
        <w:rPr>
          <w:rFonts w:ascii="宋体" w:hAnsi="宋体"/>
          <w:b/>
          <w:sz w:val="24"/>
          <w:lang w:eastAsia="zh-CN"/>
        </w:rPr>
        <w:t>（一）</w:t>
      </w:r>
      <w:r>
        <w:rPr>
          <w:rFonts w:ascii="宋体" w:hAnsi="宋体"/>
          <w:sz w:val="24"/>
          <w:lang w:eastAsia="zh-CN"/>
        </w:rPr>
        <w:t>基金管理人于《基金合同》生效日及《基金合同》终止日后10个工作日内向基金托管人提供由登记机构编制的基金份额持有人名册；</w:t>
      </w:r>
    </w:p>
    <w:p w:rsidR="002169D4" w:rsidRDefault="0026776B">
      <w:pPr>
        <w:tabs>
          <w:tab w:val="num" w:pos="1260"/>
        </w:tabs>
        <w:spacing w:line="360" w:lineRule="auto"/>
        <w:ind w:firstLine="482"/>
        <w:rPr>
          <w:rFonts w:ascii="宋体"/>
          <w:sz w:val="24"/>
          <w:lang w:eastAsia="zh-CN"/>
        </w:rPr>
      </w:pPr>
      <w:r>
        <w:rPr>
          <w:rFonts w:ascii="宋体" w:hAnsi="宋体"/>
          <w:b/>
          <w:sz w:val="24"/>
          <w:lang w:eastAsia="zh-CN"/>
        </w:rPr>
        <w:t>（二）</w:t>
      </w:r>
      <w:r>
        <w:rPr>
          <w:rFonts w:ascii="宋体" w:hAnsi="宋体"/>
          <w:sz w:val="24"/>
          <w:lang w:eastAsia="zh-CN"/>
        </w:rPr>
        <w:t>基金管理人于基金份额持有人大会权益登记日后5个工作日内向基金托管人提供由登记机构编制的基金份额持有人名册；</w:t>
      </w:r>
    </w:p>
    <w:p w:rsidR="002169D4" w:rsidRDefault="0026776B">
      <w:pPr>
        <w:tabs>
          <w:tab w:val="num" w:pos="1260"/>
        </w:tabs>
        <w:spacing w:line="360" w:lineRule="auto"/>
        <w:ind w:firstLine="482"/>
        <w:rPr>
          <w:rFonts w:ascii="宋体"/>
          <w:sz w:val="24"/>
          <w:lang w:eastAsia="zh-CN"/>
        </w:rPr>
      </w:pPr>
      <w:r>
        <w:rPr>
          <w:rFonts w:ascii="宋体" w:hAnsi="宋体"/>
          <w:b/>
          <w:sz w:val="24"/>
          <w:lang w:eastAsia="zh-CN"/>
        </w:rPr>
        <w:t>（三）</w:t>
      </w:r>
      <w:r>
        <w:rPr>
          <w:rFonts w:ascii="宋体" w:hAnsi="宋体"/>
          <w:sz w:val="24"/>
          <w:lang w:eastAsia="zh-CN"/>
        </w:rPr>
        <w:t>基金管理人于每年最后一个交易日后10个工作日内向基金托管人提供由登记机构编制的基金份额持有人名册；</w:t>
      </w:r>
    </w:p>
    <w:p w:rsidR="002169D4" w:rsidRDefault="0026776B">
      <w:pPr>
        <w:tabs>
          <w:tab w:val="num" w:pos="1260"/>
        </w:tabs>
        <w:spacing w:line="360" w:lineRule="auto"/>
        <w:ind w:firstLine="482"/>
        <w:rPr>
          <w:rFonts w:ascii="宋体"/>
          <w:sz w:val="24"/>
          <w:lang w:eastAsia="zh-CN"/>
        </w:rPr>
      </w:pPr>
      <w:r>
        <w:rPr>
          <w:rFonts w:ascii="宋体" w:hAnsi="宋体"/>
          <w:b/>
          <w:sz w:val="24"/>
          <w:lang w:eastAsia="zh-CN"/>
        </w:rPr>
        <w:t>（四）</w:t>
      </w:r>
      <w:r>
        <w:rPr>
          <w:rFonts w:ascii="宋体" w:hAnsi="宋体"/>
          <w:sz w:val="24"/>
          <w:lang w:eastAsia="zh-CN"/>
        </w:rPr>
        <w:t>除上述约定时间外，如果确因业务需要，基金托管人与基金管理人商议一致后，由基金管理人向基金托管人提供由登记机构编制的基金份额持有人名册。</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lastRenderedPageBreak/>
        <w:t>基金托管人以电子版形式妥善保管基金份额持有人名册，并定期刻成光盘备份，保存期限</w:t>
      </w:r>
      <w:r>
        <w:rPr>
          <w:rFonts w:ascii="宋体" w:hAnsi="宋体"/>
          <w:bCs/>
          <w:sz w:val="24"/>
          <w:lang w:eastAsia="zh-CN"/>
        </w:rPr>
        <w:t>不少于法律法规的规定</w:t>
      </w:r>
      <w:r>
        <w:rPr>
          <w:rFonts w:ascii="宋体" w:hAnsi="宋体"/>
          <w:sz w:val="24"/>
          <w:lang w:eastAsia="zh-CN"/>
        </w:rPr>
        <w:t>。基金托管人不得将所保管的基金份额持有人名册用于基金托管业务以外的其他用途，并应遵守保密义务。</w:t>
      </w:r>
      <w:bookmarkStart w:id="98" w:name="_Toc523830003"/>
      <w:bookmarkStart w:id="99" w:name="_Toc22454468"/>
      <w:bookmarkStart w:id="100" w:name="_Toc125892449"/>
      <w:r>
        <w:rPr>
          <w:rFonts w:ascii="宋体" w:hAnsi="宋体"/>
          <w:sz w:val="24"/>
          <w:lang w:eastAsia="zh-CN"/>
        </w:rPr>
        <w:t>若基金管理人或基金托管人由于自身原因无法妥善保管基金份额持有人名册，应按有关法规规定各自承担相应的责任。</w:t>
      </w:r>
    </w:p>
    <w:p w:rsidR="002169D4" w:rsidRDefault="0026776B">
      <w:pPr>
        <w:pStyle w:val="1"/>
        <w:rPr>
          <w:lang w:eastAsia="zh-CN"/>
        </w:rPr>
      </w:pPr>
      <w:bookmarkStart w:id="101" w:name="_Toc291504141"/>
      <w:r>
        <w:rPr>
          <w:lang w:eastAsia="zh-CN"/>
        </w:rPr>
        <w:t>十三、基金有关文件档案的保存</w:t>
      </w:r>
      <w:bookmarkEnd w:id="93"/>
      <w:bookmarkEnd w:id="98"/>
      <w:bookmarkEnd w:id="99"/>
      <w:bookmarkEnd w:id="100"/>
      <w:bookmarkEnd w:id="101"/>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基金管理人应保存基金财产管理业务活动的记录、账册、报表和其他相关资料，基金托管人应保存基金托管业务活动的记录、账册、报表和其他相关资料。</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基金管理人和基金托管人应按各自职责完整保存原始凭证、记账凭证、基金账册、会计报告、交易记录和重要合同等，保存期限不少于</w:t>
      </w:r>
      <w:r>
        <w:rPr>
          <w:rFonts w:ascii="宋体" w:hAnsi="宋体"/>
          <w:bCs/>
          <w:sz w:val="24"/>
          <w:lang w:eastAsia="zh-CN"/>
        </w:rPr>
        <w:t>法律法规的规定</w:t>
      </w:r>
      <w:r>
        <w:rPr>
          <w:rFonts w:ascii="宋体" w:hAnsi="宋体"/>
          <w:sz w:val="24"/>
          <w:lang w:eastAsia="zh-CN"/>
        </w:rPr>
        <w:t>。</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基金管理人签署重大合同文本后，应及时将合同文本正本送达基金托管人处。基金管理人应及时将与本基金账务处理、资金划拨等有关的合同、协议传真给基金托管人。</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基金管理人或基金托管人变更后，未变更的一方有义务协助接任人接收基金的有关文件。</w:t>
      </w:r>
      <w:bookmarkStart w:id="102" w:name="_Toc466788864"/>
      <w:bookmarkStart w:id="103" w:name="_Toc523830005"/>
      <w:bookmarkStart w:id="104" w:name="_Toc22454470"/>
      <w:bookmarkStart w:id="105" w:name="_Toc125892450"/>
    </w:p>
    <w:p w:rsidR="002169D4" w:rsidRDefault="0026776B">
      <w:pPr>
        <w:pStyle w:val="1"/>
        <w:rPr>
          <w:lang w:eastAsia="zh-CN"/>
        </w:rPr>
      </w:pPr>
      <w:bookmarkStart w:id="106" w:name="_Toc291504142"/>
      <w:r>
        <w:rPr>
          <w:lang w:eastAsia="zh-CN"/>
        </w:rPr>
        <w:t>十四、基金管理人和基金托管人的更换</w:t>
      </w:r>
      <w:bookmarkEnd w:id="102"/>
      <w:bookmarkEnd w:id="103"/>
      <w:bookmarkEnd w:id="104"/>
      <w:bookmarkEnd w:id="105"/>
      <w:bookmarkEnd w:id="106"/>
    </w:p>
    <w:p w:rsidR="002169D4" w:rsidRDefault="0026776B">
      <w:pPr>
        <w:tabs>
          <w:tab w:val="left" w:pos="3780"/>
        </w:tabs>
        <w:spacing w:before="156" w:after="156" w:line="360" w:lineRule="auto"/>
        <w:outlineLvl w:val="0"/>
        <w:rPr>
          <w:rFonts w:ascii="宋体"/>
          <w:b/>
          <w:bCs/>
          <w:sz w:val="24"/>
          <w:lang w:eastAsia="zh-CN"/>
        </w:rPr>
      </w:pPr>
      <w:bookmarkStart w:id="107" w:name="_Toc22454471"/>
      <w:bookmarkStart w:id="108" w:name="_Toc77663031"/>
      <w:r>
        <w:rPr>
          <w:rFonts w:ascii="宋体" w:hAnsi="宋体"/>
          <w:b/>
          <w:bCs/>
          <w:sz w:val="24"/>
          <w:lang w:eastAsia="zh-CN"/>
        </w:rPr>
        <w:t>（一）基金管理人的更换</w:t>
      </w:r>
    </w:p>
    <w:p w:rsidR="002169D4" w:rsidRDefault="0026776B">
      <w:pPr>
        <w:tabs>
          <w:tab w:val="num" w:pos="1260"/>
        </w:tabs>
        <w:spacing w:line="360" w:lineRule="auto"/>
        <w:ind w:firstLine="480"/>
        <w:rPr>
          <w:rFonts w:ascii="宋体"/>
          <w:sz w:val="24"/>
          <w:lang w:eastAsia="zh-CN"/>
        </w:rPr>
      </w:pPr>
      <w:r>
        <w:rPr>
          <w:rFonts w:ascii="宋体" w:hAnsi="宋体"/>
          <w:sz w:val="24"/>
          <w:lang w:eastAsia="zh-CN"/>
        </w:rPr>
        <w:t>1.基金管理人职责终止的条件</w:t>
      </w:r>
    </w:p>
    <w:p w:rsidR="002169D4" w:rsidRDefault="0026776B">
      <w:pPr>
        <w:spacing w:line="360" w:lineRule="auto"/>
        <w:ind w:firstLine="480"/>
        <w:rPr>
          <w:rFonts w:ascii="宋体"/>
          <w:sz w:val="24"/>
          <w:lang w:eastAsia="zh-CN"/>
        </w:rPr>
      </w:pPr>
      <w:r>
        <w:rPr>
          <w:rFonts w:ascii="宋体" w:hAnsi="宋体"/>
          <w:sz w:val="24"/>
          <w:lang w:eastAsia="zh-CN"/>
        </w:rPr>
        <w:t>有下列情形之一的，基金管理人职责终止：</w:t>
      </w:r>
    </w:p>
    <w:p w:rsidR="002169D4" w:rsidRDefault="0026776B">
      <w:pPr>
        <w:spacing w:line="360" w:lineRule="auto"/>
        <w:ind w:firstLine="480"/>
        <w:rPr>
          <w:rFonts w:ascii="宋体" w:hAnsi="宋体"/>
          <w:bCs/>
          <w:sz w:val="24"/>
          <w:lang w:eastAsia="zh-CN"/>
        </w:rPr>
      </w:pPr>
      <w:r>
        <w:rPr>
          <w:rFonts w:ascii="宋体" w:hAnsi="宋体"/>
          <w:bCs/>
          <w:sz w:val="24"/>
          <w:lang w:eastAsia="zh-CN"/>
        </w:rPr>
        <w:t>（1）被依法取消基金管理资格；</w:t>
      </w:r>
    </w:p>
    <w:p w:rsidR="002169D4" w:rsidRDefault="0026776B">
      <w:pPr>
        <w:spacing w:line="360" w:lineRule="auto"/>
        <w:ind w:firstLine="480"/>
        <w:rPr>
          <w:rFonts w:ascii="宋体" w:hAnsi="宋体"/>
          <w:bCs/>
          <w:sz w:val="24"/>
          <w:lang w:eastAsia="zh-CN"/>
        </w:rPr>
      </w:pPr>
      <w:r>
        <w:rPr>
          <w:rFonts w:ascii="宋体" w:hAnsi="宋体"/>
          <w:bCs/>
          <w:sz w:val="24"/>
          <w:lang w:eastAsia="zh-CN"/>
        </w:rPr>
        <w:t>（2）被基金份额持有人大会解任；</w:t>
      </w:r>
    </w:p>
    <w:p w:rsidR="002169D4" w:rsidRDefault="0026776B">
      <w:pPr>
        <w:spacing w:line="360" w:lineRule="auto"/>
        <w:ind w:firstLine="480"/>
        <w:rPr>
          <w:rFonts w:ascii="宋体" w:hAnsi="宋体"/>
          <w:bCs/>
          <w:sz w:val="24"/>
          <w:lang w:eastAsia="zh-CN"/>
        </w:rPr>
      </w:pPr>
      <w:r>
        <w:rPr>
          <w:rFonts w:ascii="宋体" w:hAnsi="宋体"/>
          <w:bCs/>
          <w:sz w:val="24"/>
          <w:lang w:eastAsia="zh-CN"/>
        </w:rPr>
        <w:t>（3）依法解散、被依法撤销或被依法宣告破产；</w:t>
      </w:r>
    </w:p>
    <w:p w:rsidR="002169D4" w:rsidRDefault="0026776B">
      <w:pPr>
        <w:spacing w:line="360" w:lineRule="auto"/>
        <w:ind w:firstLine="480"/>
        <w:rPr>
          <w:rFonts w:ascii="宋体" w:hAnsi="宋体"/>
          <w:bCs/>
          <w:sz w:val="24"/>
          <w:lang w:eastAsia="zh-CN"/>
        </w:rPr>
      </w:pPr>
      <w:r>
        <w:rPr>
          <w:rFonts w:ascii="宋体" w:hAnsi="宋体"/>
          <w:bCs/>
          <w:sz w:val="24"/>
          <w:lang w:eastAsia="zh-CN"/>
        </w:rPr>
        <w:t>（4）法律法规及中国证监会规定的和《基金合同》约定的其他情形。</w:t>
      </w:r>
    </w:p>
    <w:p w:rsidR="002169D4" w:rsidRDefault="0026776B">
      <w:pPr>
        <w:spacing w:line="360" w:lineRule="auto"/>
        <w:ind w:firstLine="480"/>
        <w:rPr>
          <w:rFonts w:ascii="宋体"/>
          <w:sz w:val="24"/>
          <w:lang w:eastAsia="zh-CN"/>
        </w:rPr>
      </w:pPr>
      <w:r>
        <w:rPr>
          <w:rFonts w:ascii="宋体" w:hAnsi="宋体"/>
          <w:sz w:val="24"/>
          <w:lang w:eastAsia="zh-CN"/>
        </w:rPr>
        <w:t>2.基金管理人的更换程序</w:t>
      </w:r>
    </w:p>
    <w:p w:rsidR="002169D4" w:rsidRDefault="0026776B">
      <w:pPr>
        <w:spacing w:line="360" w:lineRule="auto"/>
        <w:ind w:firstLine="480"/>
        <w:rPr>
          <w:rFonts w:ascii="宋体" w:hAnsi="宋体"/>
          <w:bCs/>
          <w:sz w:val="24"/>
          <w:lang w:eastAsia="zh-CN"/>
        </w:rPr>
      </w:pPr>
      <w:r>
        <w:rPr>
          <w:rFonts w:ascii="宋体" w:hAnsi="宋体"/>
          <w:bCs/>
          <w:sz w:val="24"/>
          <w:lang w:eastAsia="zh-CN"/>
        </w:rPr>
        <w:t>（1）提名：新任基金管理人由基金托管人或由单独或合计持有10%以上（含10%）基金份额的基金份额持有人提名；</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2）决议：基金份额持有人大会在原任基金管理人职责终止后6个月内对被提名的新任基金管理人形成决议，该决议需经参加大会的基金份额持有人所持表决权的三分之二以上（含三分之二）表决通过，决议自表决通过之日起生效；</w:t>
      </w:r>
    </w:p>
    <w:p w:rsidR="002169D4" w:rsidRDefault="0026776B">
      <w:pPr>
        <w:spacing w:line="360" w:lineRule="auto"/>
        <w:ind w:firstLine="480"/>
        <w:rPr>
          <w:rFonts w:ascii="宋体" w:hAnsi="宋体"/>
          <w:bCs/>
          <w:sz w:val="24"/>
          <w:lang w:eastAsia="zh-CN"/>
        </w:rPr>
      </w:pPr>
      <w:r>
        <w:rPr>
          <w:rFonts w:ascii="宋体" w:hAnsi="宋体"/>
          <w:bCs/>
          <w:sz w:val="24"/>
          <w:lang w:eastAsia="zh-CN"/>
        </w:rPr>
        <w:t>（3）临时基金管理人：新任基金管理人产生之前，由中国证监会指定临时基金管理人；</w:t>
      </w:r>
    </w:p>
    <w:p w:rsidR="002169D4" w:rsidRDefault="0026776B">
      <w:pPr>
        <w:spacing w:line="360" w:lineRule="auto"/>
        <w:ind w:firstLine="480"/>
        <w:rPr>
          <w:rFonts w:ascii="宋体" w:hAnsi="宋体"/>
          <w:bCs/>
          <w:sz w:val="24"/>
          <w:lang w:eastAsia="zh-CN"/>
        </w:rPr>
      </w:pPr>
      <w:r>
        <w:rPr>
          <w:rFonts w:ascii="宋体" w:hAnsi="宋体"/>
          <w:bCs/>
          <w:sz w:val="24"/>
          <w:lang w:eastAsia="zh-CN"/>
        </w:rPr>
        <w:t>（4）备案：基金份额持有人大会更换基金管理人的决议须</w:t>
      </w:r>
      <w:bookmarkStart w:id="109" w:name="_DV_C389"/>
      <w:r>
        <w:rPr>
          <w:rFonts w:ascii="宋体" w:hAnsi="宋体"/>
          <w:bCs/>
          <w:sz w:val="24"/>
          <w:lang w:eastAsia="zh-CN"/>
        </w:rPr>
        <w:t>报</w:t>
      </w:r>
      <w:bookmarkEnd w:id="109"/>
      <w:r>
        <w:rPr>
          <w:rFonts w:ascii="宋体" w:hAnsi="宋体"/>
          <w:bCs/>
          <w:sz w:val="24"/>
          <w:lang w:eastAsia="zh-CN"/>
        </w:rPr>
        <w:t>中国证监会备案；</w:t>
      </w:r>
    </w:p>
    <w:p w:rsidR="002169D4" w:rsidRDefault="0026776B">
      <w:pPr>
        <w:spacing w:line="360" w:lineRule="auto"/>
        <w:ind w:firstLine="480"/>
        <w:rPr>
          <w:rFonts w:ascii="宋体" w:hAnsi="宋体"/>
          <w:bCs/>
          <w:sz w:val="24"/>
          <w:lang w:eastAsia="zh-CN"/>
        </w:rPr>
      </w:pPr>
      <w:r>
        <w:rPr>
          <w:rFonts w:ascii="宋体" w:hAnsi="宋体"/>
          <w:bCs/>
          <w:sz w:val="24"/>
          <w:lang w:eastAsia="zh-CN"/>
        </w:rPr>
        <w:t>（5）公告：基金管理人更换后，由基金托管人在更换基金管理人的基金份额持有人大会决议生效后2日内在规定媒介公告；</w:t>
      </w:r>
    </w:p>
    <w:p w:rsidR="002169D4" w:rsidRDefault="0026776B">
      <w:pPr>
        <w:spacing w:line="360" w:lineRule="auto"/>
        <w:ind w:firstLine="480"/>
        <w:rPr>
          <w:rFonts w:ascii="宋体" w:hAnsi="宋体"/>
          <w:bCs/>
          <w:sz w:val="24"/>
          <w:lang w:eastAsia="zh-CN"/>
        </w:rPr>
      </w:pPr>
      <w:r>
        <w:rPr>
          <w:rFonts w:ascii="宋体" w:hAnsi="宋体"/>
          <w:bCs/>
          <w:sz w:val="24"/>
          <w:lang w:eastAsia="zh-CN"/>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rsidR="002169D4" w:rsidRDefault="0026776B">
      <w:pPr>
        <w:spacing w:line="360" w:lineRule="auto"/>
        <w:ind w:firstLine="480"/>
        <w:rPr>
          <w:rFonts w:ascii="宋体" w:hAnsi="宋体"/>
          <w:bCs/>
          <w:sz w:val="24"/>
          <w:lang w:eastAsia="zh-CN"/>
        </w:rPr>
      </w:pPr>
      <w:r>
        <w:rPr>
          <w:rFonts w:ascii="宋体" w:hAnsi="宋体"/>
          <w:bCs/>
          <w:sz w:val="24"/>
          <w:lang w:eastAsia="zh-CN"/>
        </w:rPr>
        <w:t>（7）审计：基金管理人职责终止的，应当按照法律法规规定聘请会计师事务所对基金财产进行审计，并将审计结果予以公告，同时报中国证监会备案，审计费用在基金财产中列支；</w:t>
      </w:r>
    </w:p>
    <w:p w:rsidR="002169D4" w:rsidRDefault="0026776B">
      <w:pPr>
        <w:spacing w:line="360" w:lineRule="auto"/>
        <w:ind w:firstLine="480"/>
        <w:rPr>
          <w:rFonts w:ascii="宋体" w:hAnsi="宋体"/>
          <w:bCs/>
          <w:sz w:val="24"/>
          <w:lang w:eastAsia="zh-CN"/>
        </w:rPr>
      </w:pPr>
      <w:r>
        <w:rPr>
          <w:rFonts w:ascii="宋体" w:hAnsi="宋体"/>
          <w:bCs/>
          <w:sz w:val="24"/>
          <w:lang w:eastAsia="zh-CN"/>
        </w:rPr>
        <w:t>（8）基金名称变更：基金管理人更换后，如果原任或新任基金管理人要求，应按其要求替换或删除基金名称中与原基金管理人有关的名称字样。</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（二）基金托管人的更换</w:t>
      </w:r>
    </w:p>
    <w:p w:rsidR="002169D4" w:rsidRDefault="0026776B">
      <w:pPr>
        <w:spacing w:line="360" w:lineRule="auto"/>
        <w:ind w:firstLine="480"/>
        <w:rPr>
          <w:rFonts w:ascii="宋体" w:hAnsi="宋体"/>
          <w:sz w:val="24"/>
          <w:lang w:eastAsia="zh-CN"/>
        </w:rPr>
      </w:pPr>
      <w:r>
        <w:rPr>
          <w:rFonts w:ascii="宋体" w:hAnsi="宋体"/>
          <w:sz w:val="24"/>
          <w:lang w:eastAsia="zh-CN"/>
        </w:rPr>
        <w:t>1.基金托管人职责终止的条件</w:t>
      </w:r>
    </w:p>
    <w:p w:rsidR="002169D4" w:rsidRDefault="0026776B">
      <w:pPr>
        <w:spacing w:line="360" w:lineRule="auto"/>
        <w:ind w:firstLine="480"/>
        <w:rPr>
          <w:rFonts w:ascii="宋体" w:hAnsi="宋体"/>
          <w:sz w:val="24"/>
          <w:lang w:eastAsia="zh-CN"/>
        </w:rPr>
      </w:pPr>
      <w:r>
        <w:rPr>
          <w:rFonts w:ascii="宋体" w:hAnsi="宋体"/>
          <w:sz w:val="24"/>
          <w:lang w:eastAsia="zh-CN"/>
        </w:rPr>
        <w:t>有下列情形之一的，基金托管人职责终止：</w:t>
      </w:r>
    </w:p>
    <w:p w:rsidR="002169D4" w:rsidRDefault="0026776B">
      <w:pPr>
        <w:spacing w:line="360" w:lineRule="auto"/>
        <w:ind w:firstLine="480"/>
        <w:rPr>
          <w:rFonts w:ascii="宋体" w:hAnsi="宋体"/>
          <w:bCs/>
          <w:sz w:val="24"/>
          <w:lang w:eastAsia="zh-CN"/>
        </w:rPr>
      </w:pPr>
      <w:r>
        <w:rPr>
          <w:rFonts w:ascii="宋体" w:hAnsi="宋体"/>
          <w:bCs/>
          <w:sz w:val="24"/>
          <w:lang w:eastAsia="zh-CN"/>
        </w:rPr>
        <w:t>（1）被依法取消基金托管资格；</w:t>
      </w:r>
    </w:p>
    <w:p w:rsidR="002169D4" w:rsidRDefault="0026776B">
      <w:pPr>
        <w:spacing w:line="360" w:lineRule="auto"/>
        <w:ind w:firstLine="480"/>
        <w:rPr>
          <w:rFonts w:ascii="宋体" w:hAnsi="宋体"/>
          <w:bCs/>
          <w:sz w:val="24"/>
          <w:lang w:eastAsia="zh-CN"/>
        </w:rPr>
      </w:pPr>
      <w:r>
        <w:rPr>
          <w:rFonts w:ascii="宋体" w:hAnsi="宋体"/>
          <w:bCs/>
          <w:sz w:val="24"/>
          <w:lang w:eastAsia="zh-CN"/>
        </w:rPr>
        <w:t>（2）被基金份额持有人大会解任；</w:t>
      </w:r>
    </w:p>
    <w:p w:rsidR="002169D4" w:rsidRDefault="0026776B">
      <w:pPr>
        <w:spacing w:line="360" w:lineRule="auto"/>
        <w:ind w:firstLine="480"/>
        <w:rPr>
          <w:rFonts w:ascii="宋体" w:hAnsi="宋体"/>
          <w:bCs/>
          <w:sz w:val="24"/>
          <w:lang w:eastAsia="zh-CN"/>
        </w:rPr>
      </w:pPr>
      <w:r>
        <w:rPr>
          <w:rFonts w:ascii="宋体" w:hAnsi="宋体"/>
          <w:bCs/>
          <w:sz w:val="24"/>
          <w:lang w:eastAsia="zh-CN"/>
        </w:rPr>
        <w:t>（3）依法解散、被依法撤销或被依法宣告破产；</w:t>
      </w:r>
    </w:p>
    <w:p w:rsidR="002169D4" w:rsidRDefault="0026776B">
      <w:pPr>
        <w:spacing w:line="360" w:lineRule="auto"/>
        <w:ind w:firstLine="480"/>
        <w:rPr>
          <w:rFonts w:ascii="宋体" w:hAnsi="宋体"/>
          <w:bCs/>
          <w:sz w:val="24"/>
          <w:lang w:eastAsia="zh-CN"/>
        </w:rPr>
      </w:pPr>
      <w:r>
        <w:rPr>
          <w:rFonts w:ascii="宋体" w:hAnsi="宋体"/>
          <w:bCs/>
          <w:sz w:val="24"/>
          <w:lang w:eastAsia="zh-CN"/>
        </w:rPr>
        <w:t>（4）法律法规及中国证监会规定的和《基金合同》约定的其他情形。</w:t>
      </w:r>
    </w:p>
    <w:p w:rsidR="002169D4" w:rsidRDefault="0026776B">
      <w:pPr>
        <w:spacing w:line="360" w:lineRule="auto"/>
        <w:ind w:firstLine="480"/>
        <w:rPr>
          <w:rFonts w:ascii="宋体" w:hAnsi="宋体"/>
          <w:sz w:val="24"/>
          <w:lang w:eastAsia="zh-CN"/>
        </w:rPr>
      </w:pPr>
      <w:r>
        <w:rPr>
          <w:rFonts w:ascii="宋体" w:hAnsi="宋体"/>
          <w:sz w:val="24"/>
          <w:lang w:eastAsia="zh-CN"/>
        </w:rPr>
        <w:t>2.基金托管人的更换程序</w:t>
      </w:r>
    </w:p>
    <w:bookmarkEnd w:id="107"/>
    <w:bookmarkEnd w:id="108"/>
    <w:p w:rsidR="002169D4" w:rsidRDefault="0026776B">
      <w:pPr>
        <w:spacing w:line="360" w:lineRule="auto"/>
        <w:ind w:firstLine="480"/>
        <w:rPr>
          <w:rFonts w:ascii="宋体" w:hAnsi="宋体"/>
          <w:bCs/>
          <w:sz w:val="24"/>
          <w:lang w:eastAsia="zh-CN"/>
        </w:rPr>
      </w:pPr>
      <w:r>
        <w:rPr>
          <w:rFonts w:ascii="宋体" w:hAnsi="宋体"/>
          <w:bCs/>
          <w:sz w:val="24"/>
          <w:lang w:eastAsia="zh-CN"/>
        </w:rPr>
        <w:t>（1）提名：新任基金托管人由基金管理人或由单独或合计持有10%以上（含10%）基金份额的基金份额持有人提名；</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（2）决议：基金份额持有人大会在基金托管人职责终止后6个月内对被提名的基金托管人形成决议，该决议需经参加大会的基金份额持有人所持表决权的三分之二以上（含三分之二）表决通过</w:t>
      </w:r>
      <w:bookmarkStart w:id="110" w:name="_DV_C402"/>
      <w:r>
        <w:rPr>
          <w:rFonts w:hAnsi="宋体"/>
          <w:bCs/>
          <w:lang w:eastAsia="zh-CN"/>
        </w:rPr>
        <w:t>，</w:t>
      </w:r>
      <w:r>
        <w:rPr>
          <w:rFonts w:ascii="宋体" w:hAnsi="宋体"/>
          <w:bCs/>
          <w:sz w:val="24"/>
          <w:lang w:eastAsia="zh-CN"/>
        </w:rPr>
        <w:t>决议自表决通过之日起生效</w:t>
      </w:r>
      <w:bookmarkEnd w:id="110"/>
      <w:r>
        <w:rPr>
          <w:rFonts w:ascii="宋体" w:hAnsi="宋体"/>
          <w:bCs/>
          <w:sz w:val="24"/>
          <w:lang w:eastAsia="zh-CN"/>
        </w:rPr>
        <w:t>；</w:t>
      </w:r>
    </w:p>
    <w:p w:rsidR="002169D4" w:rsidRDefault="0026776B">
      <w:pPr>
        <w:spacing w:line="360" w:lineRule="auto"/>
        <w:ind w:firstLine="480"/>
        <w:rPr>
          <w:rFonts w:ascii="宋体" w:hAnsi="宋体"/>
          <w:bCs/>
          <w:sz w:val="24"/>
          <w:lang w:eastAsia="zh-CN"/>
        </w:rPr>
      </w:pPr>
      <w:r>
        <w:rPr>
          <w:rFonts w:ascii="宋体" w:hAnsi="宋体"/>
          <w:bCs/>
          <w:sz w:val="24"/>
          <w:lang w:eastAsia="zh-CN"/>
        </w:rPr>
        <w:t>（3）临时基金托管人：新任基金托管人产生之前，由中国证监会指定临时基金托管人；</w:t>
      </w:r>
    </w:p>
    <w:p w:rsidR="002169D4" w:rsidRDefault="0026776B">
      <w:pPr>
        <w:spacing w:line="360" w:lineRule="auto"/>
        <w:ind w:firstLine="480"/>
        <w:rPr>
          <w:rFonts w:ascii="宋体" w:hAnsi="宋体"/>
          <w:bCs/>
          <w:sz w:val="24"/>
          <w:lang w:eastAsia="zh-CN"/>
        </w:rPr>
      </w:pPr>
      <w:r>
        <w:rPr>
          <w:rFonts w:ascii="宋体" w:hAnsi="宋体"/>
          <w:bCs/>
          <w:sz w:val="24"/>
          <w:lang w:eastAsia="zh-CN"/>
        </w:rPr>
        <w:t>（4）备案：基金份额持有人大会更换基金托管人的决议须报中国证监会备案；</w:t>
      </w:r>
    </w:p>
    <w:p w:rsidR="002169D4" w:rsidRDefault="0026776B">
      <w:pPr>
        <w:spacing w:line="360" w:lineRule="auto"/>
        <w:ind w:firstLine="480"/>
        <w:rPr>
          <w:rFonts w:ascii="宋体" w:hAnsi="宋体"/>
          <w:bCs/>
          <w:sz w:val="24"/>
          <w:lang w:eastAsia="zh-CN"/>
        </w:rPr>
      </w:pPr>
      <w:r>
        <w:rPr>
          <w:rFonts w:ascii="宋体" w:hAnsi="宋体"/>
          <w:bCs/>
          <w:sz w:val="24"/>
          <w:lang w:eastAsia="zh-CN"/>
        </w:rPr>
        <w:t>（5）公告：基金托管人更换后，由基金管理人在更换基金托管人的基金份额持有人大会决议生效后2日内在规定媒介公告；</w:t>
      </w:r>
    </w:p>
    <w:p w:rsidR="002169D4" w:rsidRDefault="0026776B">
      <w:pPr>
        <w:spacing w:line="360" w:lineRule="auto"/>
        <w:ind w:firstLine="480"/>
        <w:rPr>
          <w:rFonts w:ascii="宋体" w:hAnsi="宋体"/>
          <w:bCs/>
          <w:sz w:val="24"/>
          <w:lang w:eastAsia="zh-CN"/>
        </w:rPr>
      </w:pPr>
      <w:r>
        <w:rPr>
          <w:rFonts w:ascii="宋体" w:hAnsi="宋体"/>
          <w:bCs/>
          <w:sz w:val="24"/>
          <w:lang w:eastAsia="zh-CN"/>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 </w:t>
      </w:r>
    </w:p>
    <w:p w:rsidR="002169D4" w:rsidRDefault="0026776B">
      <w:pPr>
        <w:spacing w:line="360" w:lineRule="auto"/>
        <w:ind w:firstLine="480"/>
        <w:rPr>
          <w:rFonts w:ascii="宋体" w:hAnsi="宋体"/>
          <w:bCs/>
          <w:sz w:val="24"/>
          <w:lang w:eastAsia="zh-CN"/>
        </w:rPr>
      </w:pPr>
      <w:r>
        <w:rPr>
          <w:rFonts w:ascii="宋体" w:hAnsi="宋体"/>
          <w:bCs/>
          <w:sz w:val="24"/>
          <w:lang w:eastAsia="zh-CN"/>
        </w:rPr>
        <w:t>（7）审计：基金托管人职责终止的，应当按照法律法规规定聘请会计师事务所对基金财产进行审计，并将审计结果予以公告，同时报中国证监会备案，审计费用在基金财产中列支。</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（三）基金管理人与基金托管人同时更换</w:t>
      </w:r>
    </w:p>
    <w:p w:rsidR="002169D4" w:rsidRDefault="0026776B">
      <w:pPr>
        <w:spacing w:line="360" w:lineRule="auto"/>
        <w:ind w:firstLine="480"/>
        <w:rPr>
          <w:rFonts w:ascii="宋体" w:hAnsi="宋体"/>
          <w:bCs/>
          <w:sz w:val="24"/>
          <w:lang w:eastAsia="zh-CN"/>
        </w:rPr>
      </w:pPr>
      <w:bookmarkStart w:id="111" w:name="_Toc466788866"/>
      <w:bookmarkStart w:id="112" w:name="_Toc523830007"/>
      <w:bookmarkStart w:id="113" w:name="_Toc22454478"/>
      <w:bookmarkStart w:id="114" w:name="_Toc125892451"/>
      <w:r>
        <w:rPr>
          <w:rFonts w:ascii="宋体" w:hAnsi="宋体"/>
          <w:bCs/>
          <w:sz w:val="24"/>
          <w:lang w:eastAsia="zh-CN"/>
        </w:rPr>
        <w:t>1、提名：如果基金管理人和基金托管人同时更换，由单独或合计持有基金总份额10%以上（含10%）的基金份额持有人提名新的基金管理人和基金托管人；</w:t>
      </w:r>
    </w:p>
    <w:p w:rsidR="002169D4" w:rsidRDefault="0026776B">
      <w:pPr>
        <w:spacing w:line="360" w:lineRule="auto"/>
        <w:ind w:firstLine="480"/>
        <w:rPr>
          <w:rFonts w:ascii="宋体" w:hAnsi="宋体"/>
          <w:bCs/>
          <w:sz w:val="24"/>
          <w:lang w:eastAsia="zh-CN"/>
        </w:rPr>
      </w:pPr>
      <w:r>
        <w:rPr>
          <w:rFonts w:ascii="宋体" w:hAnsi="宋体"/>
          <w:bCs/>
          <w:sz w:val="24"/>
          <w:lang w:eastAsia="zh-CN"/>
        </w:rPr>
        <w:t>2、基金管理人和基金托管人的更换分别按上述程序进行；</w:t>
      </w:r>
    </w:p>
    <w:p w:rsidR="002169D4" w:rsidRDefault="0026776B">
      <w:pPr>
        <w:spacing w:line="360" w:lineRule="auto"/>
        <w:ind w:firstLine="480"/>
        <w:rPr>
          <w:rFonts w:ascii="宋体" w:hAnsi="宋体"/>
          <w:bCs/>
          <w:sz w:val="24"/>
          <w:lang w:eastAsia="zh-CN"/>
        </w:rPr>
      </w:pPr>
      <w:r>
        <w:rPr>
          <w:rFonts w:ascii="宋体" w:hAnsi="宋体"/>
          <w:bCs/>
          <w:sz w:val="24"/>
          <w:lang w:eastAsia="zh-CN"/>
        </w:rPr>
        <w:t>3、公告：新任基金管理人和新任基金托管人应在更换基金管理人和基金托管人的基金份额持有人大会决议生效后2日内在规定媒介上联合公告。</w:t>
      </w:r>
    </w:p>
    <w:p w:rsidR="002169D4" w:rsidRDefault="0026776B">
      <w:pPr>
        <w:spacing w:line="360" w:lineRule="auto"/>
        <w:ind w:left="1" w:firstLine="390"/>
        <w:rPr>
          <w:rFonts w:ascii="宋体"/>
          <w:bCs/>
          <w:sz w:val="24"/>
          <w:lang w:eastAsia="zh-CN"/>
        </w:rPr>
      </w:pPr>
      <w:r>
        <w:rPr>
          <w:rFonts w:ascii="宋体"/>
          <w:b/>
          <w:bCs/>
          <w:sz w:val="24"/>
          <w:lang w:eastAsia="zh-CN"/>
        </w:rPr>
        <w:t xml:space="preserve">（四） 新任基金管理人或临时基金管理人接收基金管理业务或新任基金托管人或临时基金托管人接收基金财产和基金托管业务前，原基金管理人或基金托管人应依据法律法规和《基金合同》的规定继续履行相关职责，并保证不对基金份额持有人的利益造成损害。除法律法规、监管机构另有规定外，原基金管理人或基金托管人在继续履行相关职责期间，仍有权按照《基金合同》的规定收取基金管理费或基金托管费。 </w:t>
      </w:r>
    </w:p>
    <w:p w:rsidR="002169D4" w:rsidRDefault="0026776B">
      <w:pPr>
        <w:pStyle w:val="1"/>
        <w:rPr>
          <w:lang w:eastAsia="zh-CN"/>
        </w:rPr>
      </w:pPr>
      <w:bookmarkStart w:id="115" w:name="_Toc291504143"/>
      <w:r>
        <w:rPr>
          <w:lang w:eastAsia="zh-CN"/>
        </w:rPr>
        <w:lastRenderedPageBreak/>
        <w:t>十五、禁止行为</w:t>
      </w:r>
      <w:bookmarkEnd w:id="111"/>
      <w:bookmarkEnd w:id="112"/>
      <w:bookmarkEnd w:id="113"/>
      <w:bookmarkEnd w:id="114"/>
      <w:bookmarkEnd w:id="115"/>
    </w:p>
    <w:p w:rsidR="002169D4" w:rsidRDefault="0026776B">
      <w:pPr>
        <w:spacing w:line="360" w:lineRule="auto"/>
        <w:ind w:firstLine="480"/>
        <w:rPr>
          <w:rFonts w:ascii="宋体"/>
          <w:sz w:val="24"/>
          <w:lang w:eastAsia="zh-CN"/>
        </w:rPr>
      </w:pPr>
      <w:r>
        <w:rPr>
          <w:rFonts w:ascii="宋体" w:hAnsi="宋体"/>
          <w:sz w:val="24"/>
          <w:lang w:eastAsia="zh-CN"/>
        </w:rPr>
        <w:t>本协议项下的基金管理人和基金托管人禁止行为如下：</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（一）《基金法》第二十条、第三十八条禁止的行为。</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（二）除非法律法规及中国证监会另有规定，托管协议当事人不得用基金财产从事《基金法》第七十三条禁止的投资或活动。</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（三）除《基金法》及其他有关法规、《基金合同》及中国证监会另有规定，基金管理人、基金托管人不得利用基金财产为自身和任何第三人谋取利益。</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（四）基金管理人与基金托管人对基金运作过程中任何尚未按有关法规规定的方式公开披露的信息，不得对他人泄露。</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（五）基金管理人不得在资金头寸不足的情况下，向基金托管人发送划款指令。</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（六）在资金头寸充足且为基金托管人执行指令留出足够时间的情况下，基金托管人对基金管理人符合法律法规、《基金合同》、本协议的指令不得拖延或拒绝执行。</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（七）除根据基金管理人指令或《基金合同》另有规定的，基金托管人不得动用或处分基金财产。</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（八）基金管理人与基金托管人不得为同一机构，不得相互出资或者持有股份。基金托管人、基金管理人应在行政上、财务上互相独立，其高级基金管理人员或其他从业人员不得相互兼职。</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（九）《基金合同》投资限制中禁止投资的行为。</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（十）法律法规、《基金合同》和本协议禁止的其他行为。</w:t>
      </w:r>
    </w:p>
    <w:p w:rsidR="002169D4" w:rsidRDefault="0026776B">
      <w:pPr>
        <w:spacing w:line="360" w:lineRule="auto"/>
        <w:ind w:firstLine="480"/>
        <w:rPr>
          <w:rFonts w:ascii="宋体" w:hAnsi="宋体"/>
          <w:sz w:val="24"/>
          <w:lang w:eastAsia="zh-CN"/>
        </w:rPr>
      </w:pPr>
      <w:r>
        <w:rPr>
          <w:rFonts w:ascii="宋体" w:hAnsi="宋体"/>
          <w:sz w:val="24"/>
          <w:lang w:eastAsia="zh-CN"/>
        </w:rPr>
        <w:t>法律法规和监管部门取消上述禁止性规定的，则本基金不受上述相关限制。</w:t>
      </w:r>
    </w:p>
    <w:p w:rsidR="002169D4" w:rsidRDefault="0026776B">
      <w:pPr>
        <w:pStyle w:val="1"/>
        <w:rPr>
          <w:lang w:eastAsia="zh-CN"/>
        </w:rPr>
      </w:pPr>
      <w:bookmarkStart w:id="116" w:name="_Toc125892452"/>
      <w:bookmarkStart w:id="117" w:name="_Toc291504144"/>
      <w:bookmarkStart w:id="118" w:name="_Toc466788867"/>
      <w:bookmarkStart w:id="119" w:name="_Toc523830008"/>
      <w:bookmarkStart w:id="120" w:name="_Toc22454479"/>
      <w:r>
        <w:rPr>
          <w:lang w:eastAsia="zh-CN"/>
        </w:rPr>
        <w:t>十六、基金托管协议的变更、终止与基金财产的清算</w:t>
      </w:r>
      <w:bookmarkEnd w:id="116"/>
      <w:bookmarkEnd w:id="117"/>
    </w:p>
    <w:p w:rsidR="002169D4" w:rsidRDefault="0026776B">
      <w:pPr>
        <w:tabs>
          <w:tab w:val="left" w:pos="3780"/>
        </w:tabs>
        <w:spacing w:before="156" w:after="156" w:line="360" w:lineRule="auto"/>
        <w:outlineLvl w:val="0"/>
        <w:rPr>
          <w:rFonts w:ascii="宋体"/>
          <w:b/>
          <w:bCs/>
          <w:sz w:val="24"/>
          <w:lang w:eastAsia="zh-CN"/>
        </w:rPr>
      </w:pPr>
      <w:bookmarkStart w:id="121" w:name="_Toc510842757"/>
      <w:r>
        <w:rPr>
          <w:rFonts w:ascii="宋体" w:hAnsi="宋体"/>
          <w:b/>
          <w:bCs/>
          <w:sz w:val="24"/>
          <w:lang w:eastAsia="zh-CN"/>
        </w:rPr>
        <w:t>（一）基金托管协议的变更</w:t>
      </w:r>
    </w:p>
    <w:bookmarkEnd w:id="121"/>
    <w:p w:rsidR="002169D4" w:rsidRDefault="0026776B">
      <w:pPr>
        <w:spacing w:line="360" w:lineRule="auto"/>
        <w:ind w:firstLine="480"/>
        <w:rPr>
          <w:rFonts w:ascii="宋体"/>
          <w:sz w:val="24"/>
          <w:lang w:eastAsia="zh-CN"/>
        </w:rPr>
      </w:pPr>
      <w:r>
        <w:rPr>
          <w:rFonts w:ascii="宋体" w:hAnsi="宋体"/>
          <w:sz w:val="24"/>
          <w:lang w:eastAsia="zh-CN"/>
        </w:rPr>
        <w:lastRenderedPageBreak/>
        <w:t>本协议双方当事人经协商一致，可以对协议进行修改。修改后的新协议，其内容不得与《基金合同》的规定有任何冲突。修改后的新协议，应报中国证监会备案。</w:t>
      </w:r>
    </w:p>
    <w:p w:rsidR="002169D4" w:rsidRDefault="0026776B">
      <w:pPr>
        <w:tabs>
          <w:tab w:val="left" w:pos="3780"/>
        </w:tabs>
        <w:spacing w:before="156" w:after="156" w:line="360" w:lineRule="auto"/>
        <w:outlineLvl w:val="0"/>
        <w:rPr>
          <w:rFonts w:ascii="宋体"/>
          <w:b/>
          <w:bCs/>
          <w:sz w:val="24"/>
          <w:lang w:eastAsia="zh-CN"/>
        </w:rPr>
      </w:pPr>
      <w:r>
        <w:rPr>
          <w:rFonts w:ascii="宋体" w:hAnsi="宋体"/>
          <w:b/>
          <w:bCs/>
          <w:sz w:val="24"/>
          <w:lang w:eastAsia="zh-CN"/>
        </w:rPr>
        <w:t>（二）基金托管协议的终止</w:t>
      </w:r>
    </w:p>
    <w:p w:rsidR="002169D4" w:rsidRDefault="0026776B">
      <w:pPr>
        <w:spacing w:line="360" w:lineRule="auto"/>
        <w:ind w:firstLine="480"/>
        <w:rPr>
          <w:rFonts w:ascii="宋体"/>
          <w:sz w:val="24"/>
          <w:lang w:eastAsia="zh-CN"/>
        </w:rPr>
      </w:pPr>
      <w:r>
        <w:rPr>
          <w:rFonts w:ascii="宋体" w:hAnsi="宋体"/>
          <w:sz w:val="24"/>
          <w:lang w:eastAsia="zh-CN"/>
        </w:rPr>
        <w:t>1.《基金合同》终止；</w:t>
      </w:r>
    </w:p>
    <w:p w:rsidR="002169D4" w:rsidRDefault="0026776B">
      <w:pPr>
        <w:spacing w:line="360" w:lineRule="auto"/>
        <w:ind w:firstLine="480"/>
        <w:rPr>
          <w:rFonts w:ascii="宋体"/>
          <w:sz w:val="24"/>
          <w:lang w:eastAsia="zh-CN"/>
        </w:rPr>
      </w:pPr>
      <w:r>
        <w:rPr>
          <w:rFonts w:ascii="宋体" w:hAnsi="宋体"/>
          <w:sz w:val="24"/>
          <w:lang w:eastAsia="zh-CN"/>
        </w:rPr>
        <w:t>2.基金托管人解散、依法被撤销、破产，被依法取消基金托管资格或因其他事由造成其他基金托管人接管基金财产；</w:t>
      </w:r>
    </w:p>
    <w:p w:rsidR="002169D4" w:rsidRDefault="0026776B">
      <w:pPr>
        <w:spacing w:line="360" w:lineRule="auto"/>
        <w:ind w:firstLine="480"/>
        <w:rPr>
          <w:rFonts w:ascii="宋体"/>
          <w:sz w:val="24"/>
          <w:lang w:eastAsia="zh-CN"/>
        </w:rPr>
      </w:pPr>
      <w:r>
        <w:rPr>
          <w:rFonts w:ascii="宋体" w:hAnsi="宋体"/>
          <w:sz w:val="24"/>
          <w:lang w:eastAsia="zh-CN"/>
        </w:rPr>
        <w:t>3.基金管理人解散、依法被撤销、破产，被依法取消基金管理资格或因其他事由造成其他基金管理人接管基金管理权。</w:t>
      </w:r>
    </w:p>
    <w:p w:rsidR="002169D4" w:rsidRDefault="0026776B">
      <w:pPr>
        <w:spacing w:line="360" w:lineRule="auto"/>
        <w:ind w:firstLine="480"/>
        <w:rPr>
          <w:rFonts w:ascii="宋体"/>
          <w:sz w:val="24"/>
          <w:lang w:eastAsia="zh-CN"/>
        </w:rPr>
      </w:pPr>
      <w:r>
        <w:rPr>
          <w:rFonts w:ascii="宋体" w:hAnsi="宋体"/>
          <w:sz w:val="24"/>
          <w:lang w:eastAsia="zh-CN"/>
        </w:rPr>
        <w:t>4.发生《基金法》、《销售办法》、《运作办法》或其他法律法规规定的终止事项。</w:t>
      </w:r>
    </w:p>
    <w:p w:rsidR="002169D4" w:rsidRDefault="0026776B">
      <w:pPr>
        <w:tabs>
          <w:tab w:val="left" w:pos="3780"/>
        </w:tabs>
        <w:spacing w:before="156" w:after="156" w:line="360" w:lineRule="auto"/>
        <w:outlineLvl w:val="0"/>
        <w:rPr>
          <w:b/>
          <w:sz w:val="24"/>
          <w:lang w:eastAsia="zh-CN"/>
        </w:rPr>
      </w:pPr>
      <w:r>
        <w:rPr>
          <w:b/>
          <w:sz w:val="24"/>
          <w:lang w:eastAsia="zh-CN"/>
        </w:rPr>
        <w:t>（三）基金财产的清算</w:t>
      </w:r>
    </w:p>
    <w:p w:rsidR="002169D4" w:rsidRDefault="0026776B">
      <w:pPr>
        <w:spacing w:line="360" w:lineRule="auto"/>
        <w:ind w:firstLine="480"/>
        <w:rPr>
          <w:rFonts w:ascii="宋体" w:hAnsi="宋体"/>
          <w:bCs/>
          <w:sz w:val="24"/>
          <w:lang w:eastAsia="zh-CN"/>
        </w:rPr>
      </w:pPr>
      <w:bookmarkStart w:id="122" w:name="_Toc125892453"/>
      <w:bookmarkStart w:id="123" w:name="_Toc291504145"/>
      <w:r>
        <w:rPr>
          <w:rFonts w:ascii="宋体" w:hAnsi="宋体"/>
          <w:bCs/>
          <w:sz w:val="24"/>
          <w:lang w:eastAsia="zh-CN"/>
        </w:rPr>
        <w:t>1、基金财产清算小组：自出现《基金合同》终止事由之日起30个工作日内成立基金财产清算小组，基金管理人组织基金财产清算小组并在中国证监会的监督下进行基金清算。</w:t>
      </w:r>
    </w:p>
    <w:p w:rsidR="002169D4" w:rsidRDefault="0026776B">
      <w:pPr>
        <w:spacing w:line="360" w:lineRule="auto"/>
        <w:ind w:firstLine="480"/>
        <w:rPr>
          <w:rFonts w:ascii="宋体" w:hAnsi="宋体"/>
          <w:bCs/>
          <w:sz w:val="24"/>
          <w:lang w:eastAsia="zh-CN"/>
        </w:rPr>
      </w:pPr>
      <w:r>
        <w:rPr>
          <w:rFonts w:ascii="宋体" w:hAnsi="宋体"/>
          <w:bCs/>
          <w:sz w:val="24"/>
          <w:lang w:eastAsia="zh-CN"/>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2169D4" w:rsidRDefault="0026776B">
      <w:pPr>
        <w:spacing w:line="360" w:lineRule="auto"/>
        <w:ind w:firstLine="480"/>
        <w:rPr>
          <w:rFonts w:ascii="宋体" w:hAnsi="宋体"/>
          <w:bCs/>
          <w:sz w:val="24"/>
          <w:lang w:eastAsia="zh-CN"/>
        </w:rPr>
      </w:pPr>
      <w:r>
        <w:rPr>
          <w:rFonts w:ascii="宋体" w:hAnsi="宋体"/>
          <w:bCs/>
          <w:sz w:val="24"/>
          <w:lang w:eastAsia="zh-CN"/>
        </w:rPr>
        <w:t>3、基金财产清算小组职责：基金财产清算小组负责基金财产的保管、清理、估价、变现和分配。基金财产清算小组可以依法进行必要的民事活动。</w:t>
      </w:r>
    </w:p>
    <w:p w:rsidR="002169D4" w:rsidRDefault="0026776B">
      <w:pPr>
        <w:spacing w:line="360" w:lineRule="auto"/>
        <w:ind w:firstLine="480"/>
        <w:rPr>
          <w:rFonts w:ascii="宋体" w:hAnsi="宋体"/>
          <w:bCs/>
          <w:sz w:val="24"/>
          <w:lang w:eastAsia="zh-CN"/>
        </w:rPr>
      </w:pPr>
      <w:r>
        <w:rPr>
          <w:rFonts w:ascii="宋体" w:hAnsi="宋体"/>
          <w:bCs/>
          <w:sz w:val="24"/>
          <w:lang w:eastAsia="zh-CN"/>
        </w:rPr>
        <w:t>4、基金财产清算程序：</w:t>
      </w:r>
    </w:p>
    <w:p w:rsidR="002169D4" w:rsidRDefault="0026776B">
      <w:pPr>
        <w:spacing w:line="360" w:lineRule="auto"/>
        <w:ind w:firstLine="480"/>
        <w:rPr>
          <w:rFonts w:ascii="宋体" w:hAnsi="宋体"/>
          <w:bCs/>
          <w:sz w:val="24"/>
          <w:lang w:eastAsia="zh-CN"/>
        </w:rPr>
      </w:pPr>
      <w:r>
        <w:rPr>
          <w:rFonts w:ascii="宋体" w:hAnsi="宋体"/>
          <w:bCs/>
          <w:sz w:val="24"/>
          <w:lang w:eastAsia="zh-CN"/>
        </w:rPr>
        <w:t>（1）《基金合同》终止情形出现时，由基金财产清算小组统一接管基金；</w:t>
      </w:r>
    </w:p>
    <w:p w:rsidR="002169D4" w:rsidRDefault="0026776B">
      <w:pPr>
        <w:spacing w:line="360" w:lineRule="auto"/>
        <w:ind w:firstLine="480"/>
        <w:rPr>
          <w:rFonts w:ascii="宋体" w:hAnsi="宋体"/>
          <w:bCs/>
          <w:sz w:val="24"/>
          <w:lang w:eastAsia="zh-CN"/>
        </w:rPr>
      </w:pPr>
      <w:r>
        <w:rPr>
          <w:rFonts w:ascii="宋体" w:hAnsi="宋体"/>
          <w:bCs/>
          <w:sz w:val="24"/>
          <w:lang w:eastAsia="zh-CN"/>
        </w:rPr>
        <w:t>（2）对基金财产和债权债务进行清理和确认；</w:t>
      </w:r>
    </w:p>
    <w:p w:rsidR="002169D4" w:rsidRDefault="0026776B">
      <w:pPr>
        <w:spacing w:line="360" w:lineRule="auto"/>
        <w:ind w:firstLine="480"/>
        <w:rPr>
          <w:rFonts w:ascii="宋体" w:hAnsi="宋体"/>
          <w:bCs/>
          <w:sz w:val="24"/>
          <w:lang w:eastAsia="zh-CN"/>
        </w:rPr>
      </w:pPr>
      <w:r>
        <w:rPr>
          <w:rFonts w:ascii="宋体" w:hAnsi="宋体"/>
          <w:bCs/>
          <w:sz w:val="24"/>
          <w:lang w:eastAsia="zh-CN"/>
        </w:rPr>
        <w:t>（3）对基金财产进行估值和变现；</w:t>
      </w:r>
    </w:p>
    <w:p w:rsidR="002169D4" w:rsidRDefault="0026776B">
      <w:pPr>
        <w:spacing w:line="360" w:lineRule="auto"/>
        <w:ind w:firstLine="480"/>
        <w:rPr>
          <w:rFonts w:ascii="宋体" w:hAnsi="宋体"/>
          <w:bCs/>
          <w:sz w:val="24"/>
          <w:lang w:eastAsia="zh-CN"/>
        </w:rPr>
      </w:pPr>
      <w:r>
        <w:rPr>
          <w:rFonts w:ascii="宋体" w:hAnsi="宋体"/>
          <w:bCs/>
          <w:sz w:val="24"/>
          <w:lang w:eastAsia="zh-CN"/>
        </w:rPr>
        <w:t>（4）制作清算报告；</w:t>
      </w:r>
    </w:p>
    <w:p w:rsidR="002169D4" w:rsidRDefault="0026776B">
      <w:pPr>
        <w:spacing w:line="360" w:lineRule="auto"/>
        <w:ind w:firstLine="480"/>
        <w:rPr>
          <w:rFonts w:ascii="宋体" w:hAnsi="宋体"/>
          <w:bCs/>
          <w:sz w:val="24"/>
          <w:lang w:eastAsia="zh-CN"/>
        </w:rPr>
      </w:pPr>
      <w:r>
        <w:rPr>
          <w:rFonts w:ascii="宋体" w:hAnsi="宋体"/>
          <w:bCs/>
          <w:sz w:val="24"/>
          <w:lang w:eastAsia="zh-CN"/>
        </w:rPr>
        <w:t>（5）聘请会计师事务所对清算报告进行外部审计，聘请律师事务所对清算报告出具法律意见书；</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（6）将清算报告报中国证监会备案并公告；</w:t>
      </w:r>
    </w:p>
    <w:p w:rsidR="002169D4" w:rsidRDefault="0026776B">
      <w:pPr>
        <w:spacing w:line="360" w:lineRule="auto"/>
        <w:ind w:firstLine="480"/>
        <w:rPr>
          <w:rFonts w:ascii="宋体" w:hAnsi="宋体"/>
          <w:bCs/>
          <w:sz w:val="24"/>
          <w:lang w:eastAsia="zh-CN"/>
        </w:rPr>
      </w:pPr>
      <w:r>
        <w:rPr>
          <w:rFonts w:ascii="宋体" w:hAnsi="宋体"/>
          <w:bCs/>
          <w:sz w:val="24"/>
          <w:lang w:eastAsia="zh-CN"/>
        </w:rPr>
        <w:t>（7）对基金剩余财产进行分配。</w:t>
      </w:r>
    </w:p>
    <w:p w:rsidR="002169D4" w:rsidRDefault="0026776B">
      <w:pPr>
        <w:spacing w:line="360" w:lineRule="auto"/>
        <w:ind w:firstLine="480"/>
        <w:rPr>
          <w:rFonts w:ascii="宋体" w:hAnsi="宋体"/>
          <w:bCs/>
          <w:sz w:val="24"/>
          <w:lang w:eastAsia="zh-CN"/>
        </w:rPr>
      </w:pPr>
      <w:r>
        <w:rPr>
          <w:rFonts w:ascii="宋体" w:hAnsi="宋体"/>
          <w:bCs/>
          <w:sz w:val="24"/>
          <w:lang w:eastAsia="zh-CN"/>
        </w:rPr>
        <w:t>5、基金财产清算的期限为6个月</w:t>
      </w:r>
      <w:r>
        <w:rPr>
          <w:rFonts w:hAnsi="宋体"/>
          <w:bCs/>
          <w:sz w:val="24"/>
          <w:lang w:eastAsia="zh-CN"/>
        </w:rPr>
        <w:t>，但因本基金所持证券的流动性受到限制而不能及时变现的，清算期限相应顺延</w:t>
      </w:r>
      <w:r>
        <w:rPr>
          <w:rFonts w:ascii="宋体" w:hAnsi="宋体"/>
          <w:bCs/>
          <w:sz w:val="24"/>
          <w:lang w:eastAsia="zh-CN"/>
        </w:rPr>
        <w:t>。</w:t>
      </w:r>
    </w:p>
    <w:p w:rsidR="002169D4" w:rsidRDefault="0026776B">
      <w:pPr>
        <w:spacing w:line="360" w:lineRule="auto"/>
        <w:ind w:firstLine="480"/>
        <w:rPr>
          <w:rFonts w:ascii="宋体" w:hAnsi="宋体"/>
          <w:bCs/>
          <w:sz w:val="24"/>
          <w:lang w:eastAsia="zh-CN"/>
        </w:rPr>
      </w:pPr>
      <w:r>
        <w:rPr>
          <w:rFonts w:ascii="宋体" w:hAnsi="宋体"/>
          <w:bCs/>
          <w:sz w:val="24"/>
          <w:lang w:eastAsia="zh-CN"/>
        </w:rPr>
        <w:t>6、清算费用</w:t>
      </w:r>
    </w:p>
    <w:p w:rsidR="002169D4" w:rsidRDefault="0026776B">
      <w:pPr>
        <w:spacing w:line="360" w:lineRule="auto"/>
        <w:ind w:firstLine="480"/>
        <w:rPr>
          <w:rFonts w:ascii="宋体" w:hAnsi="宋体"/>
          <w:bCs/>
          <w:sz w:val="24"/>
          <w:lang w:eastAsia="zh-CN"/>
        </w:rPr>
      </w:pPr>
      <w:r>
        <w:rPr>
          <w:rFonts w:ascii="宋体" w:hAnsi="宋体"/>
          <w:bCs/>
          <w:sz w:val="24"/>
          <w:lang w:eastAsia="zh-CN"/>
        </w:rPr>
        <w:t>清算费用是指基金财产清算小组在进行基金清算过程中发生的所有合理费用，清算费用由基金财产清算小组优先从基金财产中支付。</w:t>
      </w:r>
    </w:p>
    <w:p w:rsidR="002169D4" w:rsidRDefault="0026776B">
      <w:pPr>
        <w:spacing w:line="360" w:lineRule="auto"/>
        <w:ind w:firstLine="480"/>
        <w:rPr>
          <w:rFonts w:ascii="宋体" w:hAnsi="宋体"/>
          <w:bCs/>
          <w:sz w:val="24"/>
          <w:lang w:eastAsia="zh-CN"/>
        </w:rPr>
      </w:pPr>
      <w:r>
        <w:rPr>
          <w:rFonts w:ascii="宋体" w:hAnsi="宋体"/>
          <w:bCs/>
          <w:sz w:val="24"/>
          <w:lang w:eastAsia="zh-CN"/>
        </w:rPr>
        <w:t>7、基金财产清算剩余资产的分配</w:t>
      </w:r>
    </w:p>
    <w:p w:rsidR="002169D4" w:rsidRDefault="0026776B">
      <w:pPr>
        <w:spacing w:line="360" w:lineRule="auto"/>
        <w:ind w:firstLine="480"/>
        <w:rPr>
          <w:rFonts w:ascii="宋体" w:hAnsi="宋体"/>
          <w:bCs/>
          <w:sz w:val="24"/>
          <w:lang w:eastAsia="zh-CN"/>
        </w:rPr>
      </w:pPr>
      <w:r>
        <w:rPr>
          <w:rFonts w:ascii="宋体" w:hAnsi="宋体"/>
          <w:bCs/>
          <w:sz w:val="24"/>
          <w:lang w:eastAsia="zh-CN"/>
        </w:rPr>
        <w:t>依据基金财产清算的分配方案，将基金财产清算后的全部剩余资产扣除基金财产清算费用、交纳所欠税款并清偿基金债务后，按基金份额持有人持有的基金份额比例进行分配。</w:t>
      </w:r>
    </w:p>
    <w:p w:rsidR="002169D4" w:rsidRDefault="0026776B">
      <w:pPr>
        <w:spacing w:line="360" w:lineRule="auto"/>
        <w:ind w:firstLine="480"/>
        <w:rPr>
          <w:rFonts w:ascii="宋体" w:hAnsi="宋体"/>
          <w:bCs/>
          <w:sz w:val="24"/>
          <w:lang w:eastAsia="zh-CN"/>
        </w:rPr>
      </w:pPr>
      <w:r>
        <w:rPr>
          <w:rFonts w:ascii="宋体" w:hAnsi="宋体"/>
          <w:bCs/>
          <w:sz w:val="24"/>
          <w:lang w:eastAsia="zh-CN"/>
        </w:rPr>
        <w:t>8、基金财产清算的公告</w:t>
      </w:r>
    </w:p>
    <w:p w:rsidR="002169D4" w:rsidRDefault="0026776B">
      <w:pPr>
        <w:spacing w:line="360" w:lineRule="auto"/>
        <w:ind w:firstLine="480"/>
        <w:rPr>
          <w:rFonts w:ascii="宋体" w:hAnsi="宋体"/>
          <w:bCs/>
          <w:sz w:val="24"/>
          <w:lang w:eastAsia="zh-CN"/>
        </w:rPr>
      </w:pPr>
      <w:r>
        <w:rPr>
          <w:rFonts w:ascii="宋体" w:hAnsi="宋体"/>
          <w:bCs/>
          <w:sz w:val="24"/>
          <w:lang w:eastAsia="zh-CN"/>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2169D4" w:rsidRDefault="0026776B">
      <w:pPr>
        <w:spacing w:line="360" w:lineRule="auto"/>
        <w:ind w:firstLine="480"/>
        <w:rPr>
          <w:rFonts w:ascii="宋体" w:hAnsi="宋体"/>
          <w:bCs/>
          <w:sz w:val="24"/>
          <w:lang w:eastAsia="zh-CN"/>
        </w:rPr>
      </w:pPr>
      <w:r>
        <w:rPr>
          <w:rFonts w:ascii="宋体" w:hAnsi="宋体"/>
          <w:bCs/>
          <w:sz w:val="24"/>
          <w:lang w:eastAsia="zh-CN"/>
        </w:rPr>
        <w:t>9、基金财产清算账册及文件的保存</w:t>
      </w:r>
    </w:p>
    <w:p w:rsidR="002169D4" w:rsidRDefault="0026776B">
      <w:pPr>
        <w:spacing w:line="360" w:lineRule="auto"/>
        <w:ind w:firstLine="480"/>
        <w:rPr>
          <w:rFonts w:ascii="宋体" w:hAnsi="宋体"/>
          <w:bCs/>
          <w:sz w:val="24"/>
          <w:lang w:eastAsia="zh-CN"/>
        </w:rPr>
      </w:pPr>
      <w:r>
        <w:rPr>
          <w:rFonts w:ascii="宋体" w:hAnsi="宋体"/>
          <w:bCs/>
          <w:sz w:val="24"/>
          <w:lang w:eastAsia="zh-CN"/>
        </w:rPr>
        <w:t>基金财产清算账册及有关文件由基金托管人保存，保存期限不少于法律法规的规定。</w:t>
      </w:r>
    </w:p>
    <w:p w:rsidR="002169D4" w:rsidRDefault="0026776B">
      <w:pPr>
        <w:pStyle w:val="1"/>
        <w:rPr>
          <w:lang w:eastAsia="zh-CN"/>
        </w:rPr>
      </w:pPr>
      <w:r>
        <w:rPr>
          <w:lang w:eastAsia="zh-CN"/>
        </w:rPr>
        <w:t>十七、违约责任</w:t>
      </w:r>
      <w:bookmarkEnd w:id="118"/>
      <w:bookmarkEnd w:id="119"/>
      <w:bookmarkEnd w:id="120"/>
      <w:bookmarkEnd w:id="122"/>
      <w:bookmarkEnd w:id="123"/>
    </w:p>
    <w:p w:rsidR="002169D4" w:rsidRDefault="0026776B">
      <w:pPr>
        <w:tabs>
          <w:tab w:val="left" w:pos="3780"/>
        </w:tabs>
        <w:spacing w:before="156" w:after="156" w:line="360" w:lineRule="auto"/>
        <w:outlineLvl w:val="0"/>
        <w:rPr>
          <w:b/>
          <w:sz w:val="24"/>
          <w:lang w:eastAsia="zh-CN"/>
        </w:rPr>
      </w:pPr>
      <w:r>
        <w:rPr>
          <w:b/>
          <w:sz w:val="24"/>
          <w:lang w:eastAsia="zh-CN"/>
        </w:rPr>
        <w:t>（一）基金管理人或基金托管人不履行本协议或履行本协议不符合约定的，应当承担违约责任。</w:t>
      </w:r>
    </w:p>
    <w:p w:rsidR="002169D4" w:rsidRDefault="0026776B">
      <w:pPr>
        <w:tabs>
          <w:tab w:val="left" w:pos="3780"/>
        </w:tabs>
        <w:spacing w:before="156" w:after="156" w:line="360" w:lineRule="auto"/>
        <w:outlineLvl w:val="0"/>
        <w:rPr>
          <w:b/>
          <w:sz w:val="24"/>
          <w:lang w:eastAsia="zh-CN"/>
        </w:rPr>
      </w:pPr>
      <w:r>
        <w:rPr>
          <w:b/>
          <w:sz w:val="24"/>
          <w:lang w:eastAsia="zh-CN"/>
        </w:rPr>
        <w:t>（二）</w:t>
      </w:r>
      <w:bookmarkStart w:id="124" w:name="OLE_LINK3"/>
      <w:r>
        <w:rPr>
          <w:b/>
          <w:sz w:val="24"/>
          <w:lang w:eastAsia="zh-CN"/>
        </w:rPr>
        <w:t>基金管理人、基金托管人在履行各自职责的过程中，违反《基金法》规定或者本托管协议</w:t>
      </w:r>
      <w:r>
        <w:rPr>
          <w:rFonts w:ascii="宋体" w:hAnsi="宋体"/>
          <w:b/>
          <w:bCs/>
          <w:sz w:val="24"/>
          <w:lang w:eastAsia="zh-CN"/>
        </w:rPr>
        <w:t>约定</w:t>
      </w:r>
      <w:r>
        <w:rPr>
          <w:b/>
          <w:sz w:val="24"/>
          <w:lang w:eastAsia="zh-CN"/>
        </w:rPr>
        <w:t>，给基金财产或者基金份额持有人造成损害的，应当分别对各自的行为依法承担赔偿责任；因共同行为给基金财产或者基金份额持有人造成损害的，应当承担连带赔偿责任，对损失的赔偿，仅限于直接损失。</w:t>
      </w:r>
      <w:bookmarkEnd w:id="124"/>
      <w:r>
        <w:rPr>
          <w:b/>
          <w:sz w:val="24"/>
          <w:lang w:eastAsia="zh-CN"/>
        </w:rPr>
        <w:t>但是发生下列情况，当事人可以免责：</w:t>
      </w:r>
    </w:p>
    <w:p w:rsidR="002169D4" w:rsidRDefault="0026776B">
      <w:pPr>
        <w:spacing w:line="360" w:lineRule="auto"/>
        <w:ind w:firstLine="480"/>
        <w:rPr>
          <w:rFonts w:ascii="宋体" w:hAnsi="宋体"/>
          <w:bCs/>
          <w:sz w:val="24"/>
          <w:lang w:eastAsia="zh-CN"/>
        </w:rPr>
      </w:pPr>
      <w:r>
        <w:rPr>
          <w:rFonts w:ascii="宋体" w:hAnsi="宋体"/>
          <w:bCs/>
          <w:sz w:val="24"/>
          <w:lang w:eastAsia="zh-CN"/>
        </w:rPr>
        <w:lastRenderedPageBreak/>
        <w:t>1、不可抗力；</w:t>
      </w:r>
    </w:p>
    <w:p w:rsidR="002169D4" w:rsidRDefault="0026776B">
      <w:pPr>
        <w:spacing w:line="360" w:lineRule="auto"/>
        <w:ind w:firstLine="480"/>
        <w:rPr>
          <w:rFonts w:ascii="宋体" w:hAnsi="宋体"/>
          <w:bCs/>
          <w:sz w:val="24"/>
          <w:lang w:eastAsia="zh-CN"/>
        </w:rPr>
      </w:pPr>
      <w:r>
        <w:rPr>
          <w:rFonts w:ascii="宋体" w:hAnsi="宋体"/>
          <w:bCs/>
          <w:sz w:val="24"/>
          <w:lang w:eastAsia="zh-CN"/>
        </w:rPr>
        <w:t>2、基金管理人和/或基金托管人按照当时有效的法律法规或中国证监会的规定作为或不作为而造成的损失等；</w:t>
      </w:r>
    </w:p>
    <w:p w:rsidR="002169D4" w:rsidRDefault="0026776B">
      <w:pPr>
        <w:spacing w:line="360" w:lineRule="auto"/>
        <w:ind w:firstLine="480"/>
        <w:rPr>
          <w:rFonts w:ascii="宋体" w:hAnsi="宋体"/>
          <w:bCs/>
          <w:sz w:val="24"/>
          <w:lang w:eastAsia="zh-CN"/>
        </w:rPr>
      </w:pPr>
      <w:r>
        <w:rPr>
          <w:rFonts w:ascii="宋体" w:hAnsi="宋体"/>
          <w:bCs/>
          <w:sz w:val="24"/>
          <w:lang w:eastAsia="zh-CN"/>
        </w:rPr>
        <w:t>3、基金管理人由于按照基金合同规定的投资原则行使或不行使投资权而造成的损失等。</w:t>
      </w:r>
    </w:p>
    <w:p w:rsidR="002169D4" w:rsidRDefault="0026776B">
      <w:pPr>
        <w:spacing w:line="360" w:lineRule="auto"/>
        <w:ind w:firstLine="480"/>
        <w:rPr>
          <w:rFonts w:ascii="宋体"/>
          <w:sz w:val="24"/>
          <w:lang w:eastAsia="zh-CN"/>
        </w:rPr>
      </w:pPr>
      <w:r>
        <w:rPr>
          <w:rFonts w:ascii="宋体" w:hAnsi="宋体"/>
          <w:sz w:val="24"/>
          <w:lang w:eastAsia="zh-CN"/>
        </w:rPr>
        <w:t>如果由于本协议一方当事人（“违约方”）的违约行为给基金资产或基金投资者造成损失，而另一方当事人（“守约方”）赔偿了基金资产或基金投资者的损失，则守约方有权向违约方追索由此遭受的所有直接损失。</w:t>
      </w:r>
    </w:p>
    <w:p w:rsidR="002169D4" w:rsidRDefault="0026776B">
      <w:pPr>
        <w:spacing w:line="360" w:lineRule="auto"/>
        <w:ind w:firstLine="480"/>
        <w:rPr>
          <w:rFonts w:ascii="宋体"/>
          <w:sz w:val="24"/>
          <w:lang w:eastAsia="zh-CN"/>
        </w:rPr>
      </w:pPr>
      <w:r>
        <w:rPr>
          <w:rFonts w:ascii="宋体" w:hAnsi="宋体"/>
          <w:sz w:val="24"/>
          <w:lang w:eastAsia="zh-CN"/>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rsidR="002169D4" w:rsidRDefault="0026776B">
      <w:pPr>
        <w:spacing w:line="360" w:lineRule="auto"/>
        <w:ind w:firstLine="480"/>
        <w:rPr>
          <w:rFonts w:ascii="宋体"/>
          <w:sz w:val="24"/>
          <w:lang w:eastAsia="zh-CN"/>
        </w:rPr>
      </w:pPr>
      <w:r>
        <w:rPr>
          <w:rFonts w:ascii="宋体" w:hAnsi="宋体"/>
          <w:sz w:val="24"/>
          <w:lang w:eastAsia="zh-CN"/>
        </w:rPr>
        <w:t>由于基金管理人、基金托管人不可控制的因素导致业务出现差错，基金管理人和基金托管人虽然已经采取必要、适当、合理的措施进行检查，但是未能发现该错误的，由此造成基金资产或基金投资者损失，基金管理人和基金托管人可以免除赔偿责任。但基金管理人和基金托管人应当积极采取必要的措施消除或降低由此造成的影响。</w:t>
      </w:r>
    </w:p>
    <w:p w:rsidR="002169D4" w:rsidRDefault="0026776B">
      <w:pPr>
        <w:tabs>
          <w:tab w:val="left" w:pos="3780"/>
        </w:tabs>
        <w:spacing w:before="156" w:after="156" w:line="360" w:lineRule="auto"/>
        <w:outlineLvl w:val="0"/>
        <w:rPr>
          <w:b/>
          <w:sz w:val="24"/>
          <w:lang w:eastAsia="zh-CN"/>
        </w:rPr>
      </w:pPr>
      <w:r>
        <w:rPr>
          <w:b/>
          <w:sz w:val="24"/>
          <w:lang w:eastAsia="zh-CN"/>
        </w:rPr>
        <w:t>（三）托管</w:t>
      </w:r>
      <w:r>
        <w:rPr>
          <w:rFonts w:ascii="宋体" w:hAnsi="宋体"/>
          <w:b/>
          <w:bCs/>
          <w:sz w:val="24"/>
          <w:lang w:eastAsia="zh-CN"/>
        </w:rPr>
        <w:t>协议</w:t>
      </w:r>
      <w:r>
        <w:rPr>
          <w:b/>
          <w:sz w:val="24"/>
          <w:lang w:eastAsia="zh-CN"/>
        </w:rPr>
        <w:t>当事人违反托管协议，给另一方当事人造成损失的，应承担赔偿责任。</w:t>
      </w:r>
    </w:p>
    <w:p w:rsidR="002169D4" w:rsidRDefault="0026776B">
      <w:pPr>
        <w:tabs>
          <w:tab w:val="left" w:pos="3780"/>
        </w:tabs>
        <w:spacing w:before="156" w:after="156" w:line="360" w:lineRule="auto"/>
        <w:outlineLvl w:val="0"/>
        <w:rPr>
          <w:b/>
          <w:sz w:val="24"/>
          <w:lang w:eastAsia="zh-CN"/>
        </w:rPr>
      </w:pPr>
      <w:r>
        <w:rPr>
          <w:b/>
          <w:sz w:val="24"/>
          <w:lang w:eastAsia="zh-CN"/>
        </w:rPr>
        <w:t>（四）违约行为虽已发生，但本托管协议能够继续履行的，在最大限度地保护基金份额持有人</w:t>
      </w:r>
      <w:r>
        <w:rPr>
          <w:rFonts w:ascii="宋体" w:hAnsi="宋体"/>
          <w:b/>
          <w:bCs/>
          <w:sz w:val="24"/>
          <w:lang w:eastAsia="zh-CN"/>
        </w:rPr>
        <w:t>利益</w:t>
      </w:r>
      <w:r>
        <w:rPr>
          <w:b/>
          <w:sz w:val="24"/>
          <w:lang w:eastAsia="zh-CN"/>
        </w:rPr>
        <w:t>的前提下，基金管理人和基金托管人应当继续履行本协议。</w:t>
      </w:r>
      <w:bookmarkStart w:id="125" w:name="_Toc466788868"/>
      <w:bookmarkStart w:id="126" w:name="_Toc523830010"/>
      <w:bookmarkStart w:id="127" w:name="_Toc22454480"/>
      <w:bookmarkStart w:id="128" w:name="_Toc125892454"/>
    </w:p>
    <w:p w:rsidR="002169D4" w:rsidRDefault="0026776B">
      <w:pPr>
        <w:tabs>
          <w:tab w:val="left" w:pos="3780"/>
        </w:tabs>
        <w:spacing w:before="156" w:after="156" w:line="360" w:lineRule="auto"/>
        <w:outlineLvl w:val="0"/>
        <w:rPr>
          <w:b/>
          <w:sz w:val="24"/>
          <w:lang w:eastAsia="zh-CN"/>
        </w:rPr>
      </w:pPr>
      <w:r>
        <w:rPr>
          <w:b/>
          <w:sz w:val="24"/>
          <w:lang w:eastAsia="zh-CN"/>
        </w:rPr>
        <w:t>（五）本协议所指损失均为直接损失。</w:t>
      </w:r>
    </w:p>
    <w:p w:rsidR="002169D4" w:rsidRDefault="0026776B">
      <w:pPr>
        <w:pStyle w:val="1"/>
        <w:rPr>
          <w:lang w:eastAsia="zh-CN"/>
        </w:rPr>
      </w:pPr>
      <w:bookmarkStart w:id="129" w:name="_Toc291504146"/>
      <w:r>
        <w:rPr>
          <w:lang w:eastAsia="zh-CN"/>
        </w:rPr>
        <w:t>十八、争议</w:t>
      </w:r>
      <w:bookmarkEnd w:id="125"/>
      <w:bookmarkEnd w:id="126"/>
      <w:bookmarkEnd w:id="127"/>
      <w:r>
        <w:rPr>
          <w:lang w:eastAsia="zh-CN"/>
        </w:rPr>
        <w:t>解决方式</w:t>
      </w:r>
      <w:bookmarkEnd w:id="128"/>
      <w:bookmarkEnd w:id="129"/>
    </w:p>
    <w:p w:rsidR="002169D4" w:rsidRDefault="0026776B">
      <w:pPr>
        <w:spacing w:line="360" w:lineRule="auto"/>
        <w:ind w:firstLine="480"/>
        <w:rPr>
          <w:rFonts w:ascii="宋体"/>
          <w:sz w:val="24"/>
          <w:lang w:eastAsia="zh-CN"/>
        </w:rPr>
      </w:pPr>
      <w:r>
        <w:rPr>
          <w:rFonts w:ascii="宋体" w:hAnsi="宋体"/>
          <w:sz w:val="24"/>
          <w:lang w:eastAsia="zh-CN"/>
        </w:rPr>
        <w:t>双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w:t>
      </w:r>
      <w:r>
        <w:rPr>
          <w:rFonts w:ascii="宋体" w:hAnsi="宋体"/>
          <w:sz w:val="24"/>
          <w:lang w:eastAsia="zh-CN"/>
        </w:rPr>
        <w:lastRenderedPageBreak/>
        <w:t>是终局的，并对相关各方当事人均有约束力。</w:t>
      </w:r>
      <w:r>
        <w:rPr>
          <w:rFonts w:ascii="宋体" w:hAnsi="宋体"/>
          <w:bCs/>
          <w:sz w:val="24"/>
          <w:lang w:eastAsia="zh-CN"/>
        </w:rPr>
        <w:t>除非仲裁裁决另有规定，</w:t>
      </w:r>
      <w:r>
        <w:rPr>
          <w:rFonts w:ascii="宋体" w:hAnsi="宋体"/>
          <w:sz w:val="24"/>
          <w:lang w:eastAsia="zh-CN"/>
        </w:rPr>
        <w:t>仲裁费用由败诉方承担。</w:t>
      </w:r>
    </w:p>
    <w:p w:rsidR="002169D4" w:rsidRDefault="0026776B">
      <w:pPr>
        <w:spacing w:line="360" w:lineRule="auto"/>
        <w:ind w:firstLine="480"/>
        <w:rPr>
          <w:rFonts w:ascii="宋体"/>
          <w:sz w:val="24"/>
          <w:lang w:eastAsia="zh-CN"/>
        </w:rPr>
      </w:pPr>
      <w:r>
        <w:rPr>
          <w:rFonts w:ascii="宋体" w:hAnsi="宋体"/>
          <w:sz w:val="24"/>
          <w:lang w:eastAsia="zh-CN"/>
        </w:rPr>
        <w:t>争议处理期间，双方当事人应恪守基金管理人和基金托管人职责，继续忠实、勤勉、尽责地履行《基金合同》和本协议规定的义务，维护基金份额持有人的合法权益。</w:t>
      </w:r>
    </w:p>
    <w:p w:rsidR="002169D4" w:rsidRDefault="0026776B">
      <w:pPr>
        <w:spacing w:line="360" w:lineRule="auto"/>
        <w:ind w:firstLine="480"/>
        <w:rPr>
          <w:rFonts w:ascii="宋体"/>
          <w:sz w:val="24"/>
          <w:lang w:eastAsia="zh-CN"/>
        </w:rPr>
      </w:pPr>
      <w:r>
        <w:rPr>
          <w:rFonts w:ascii="宋体" w:hAnsi="宋体"/>
          <w:sz w:val="24"/>
          <w:lang w:eastAsia="zh-CN"/>
        </w:rPr>
        <w:t>本协议受中华人民共和国法律</w:t>
      </w:r>
      <w:r>
        <w:rPr>
          <w:rFonts w:ascii="宋体" w:hAnsi="宋体"/>
          <w:bCs/>
          <w:sz w:val="24"/>
          <w:lang w:eastAsia="zh-CN"/>
        </w:rPr>
        <w:t>（为本协议之目的，不包括香港、澳门和台湾法律）</w:t>
      </w:r>
      <w:r>
        <w:rPr>
          <w:rFonts w:ascii="宋体" w:hAnsi="宋体"/>
          <w:sz w:val="24"/>
          <w:lang w:eastAsia="zh-CN"/>
        </w:rPr>
        <w:t>管辖。</w:t>
      </w:r>
      <w:bookmarkStart w:id="130" w:name="_Toc466788869"/>
      <w:bookmarkStart w:id="131" w:name="_Toc523830011"/>
      <w:bookmarkStart w:id="132" w:name="_Toc22454481"/>
      <w:bookmarkStart w:id="133" w:name="_Toc125892455"/>
    </w:p>
    <w:p w:rsidR="002169D4" w:rsidRDefault="0026776B">
      <w:pPr>
        <w:pStyle w:val="1"/>
        <w:rPr>
          <w:lang w:eastAsia="zh-CN"/>
        </w:rPr>
      </w:pPr>
      <w:bookmarkStart w:id="134" w:name="_Toc291504147"/>
      <w:r>
        <w:rPr>
          <w:lang w:eastAsia="zh-CN"/>
        </w:rPr>
        <w:t>十九、基金托管协议的效力</w:t>
      </w:r>
      <w:bookmarkEnd w:id="130"/>
      <w:bookmarkEnd w:id="131"/>
      <w:bookmarkEnd w:id="132"/>
      <w:bookmarkEnd w:id="133"/>
      <w:bookmarkEnd w:id="134"/>
    </w:p>
    <w:p w:rsidR="002169D4" w:rsidRDefault="0026776B">
      <w:pPr>
        <w:tabs>
          <w:tab w:val="left" w:pos="3780"/>
        </w:tabs>
        <w:spacing w:before="156" w:after="156" w:line="360" w:lineRule="auto"/>
        <w:outlineLvl w:val="0"/>
        <w:rPr>
          <w:b/>
          <w:sz w:val="24"/>
          <w:lang w:eastAsia="zh-CN"/>
        </w:rPr>
      </w:pPr>
      <w:r>
        <w:rPr>
          <w:b/>
          <w:sz w:val="24"/>
          <w:lang w:eastAsia="zh-CN"/>
        </w:rPr>
        <w:t>（一）基金管理人在向中国证监会申请发售基金份额时提交的基金托管协议草案，应经托管协议当事人双方盖章以及双方法定代表人或授权代表签字或盖章，协议当事人双方根据中国证监会的意见修改托管协议草案。托管协议以报中国证监会注册的文本为正式文本。</w:t>
      </w:r>
    </w:p>
    <w:p w:rsidR="002169D4" w:rsidRDefault="0026776B">
      <w:pPr>
        <w:tabs>
          <w:tab w:val="left" w:pos="3780"/>
        </w:tabs>
        <w:spacing w:before="156" w:after="156" w:line="360" w:lineRule="auto"/>
        <w:outlineLvl w:val="0"/>
        <w:rPr>
          <w:b/>
          <w:sz w:val="24"/>
          <w:lang w:eastAsia="zh-CN"/>
        </w:rPr>
      </w:pPr>
      <w:r>
        <w:rPr>
          <w:b/>
          <w:sz w:val="24"/>
          <w:lang w:eastAsia="zh-CN"/>
        </w:rPr>
        <w:t>（二）基金托管协议自《基金合同》成立之日起成立，自《基金合同》生效之日起生效。基金</w:t>
      </w:r>
      <w:r>
        <w:rPr>
          <w:rFonts w:ascii="宋体" w:hAnsi="宋体"/>
          <w:b/>
          <w:bCs/>
          <w:sz w:val="24"/>
          <w:lang w:eastAsia="zh-CN"/>
        </w:rPr>
        <w:t>托管</w:t>
      </w:r>
      <w:r>
        <w:rPr>
          <w:b/>
          <w:sz w:val="24"/>
          <w:lang w:eastAsia="zh-CN"/>
        </w:rPr>
        <w:t>协议的有效期自其生效之日起至基金财产清算结果报中国证监会备案并公告之日止。</w:t>
      </w:r>
    </w:p>
    <w:p w:rsidR="002169D4" w:rsidRDefault="0026776B">
      <w:pPr>
        <w:tabs>
          <w:tab w:val="left" w:pos="3780"/>
        </w:tabs>
        <w:spacing w:before="156" w:after="156" w:line="360" w:lineRule="auto"/>
        <w:outlineLvl w:val="0"/>
        <w:rPr>
          <w:b/>
          <w:sz w:val="24"/>
          <w:lang w:eastAsia="zh-CN"/>
        </w:rPr>
      </w:pPr>
      <w:r>
        <w:rPr>
          <w:b/>
          <w:sz w:val="24"/>
          <w:lang w:eastAsia="zh-CN"/>
        </w:rPr>
        <w:t>（三）基金托管</w:t>
      </w:r>
      <w:r>
        <w:rPr>
          <w:rFonts w:ascii="宋体" w:hAnsi="宋体"/>
          <w:b/>
          <w:bCs/>
          <w:sz w:val="24"/>
          <w:lang w:eastAsia="zh-CN"/>
        </w:rPr>
        <w:t>协议</w:t>
      </w:r>
      <w:r>
        <w:rPr>
          <w:b/>
          <w:sz w:val="24"/>
          <w:lang w:eastAsia="zh-CN"/>
        </w:rPr>
        <w:t>自生效之日起对托管协议当事人具有同等的法律约束力。</w:t>
      </w:r>
    </w:p>
    <w:p w:rsidR="002169D4" w:rsidRDefault="0026776B">
      <w:pPr>
        <w:tabs>
          <w:tab w:val="left" w:pos="3780"/>
        </w:tabs>
        <w:spacing w:before="156" w:after="156" w:line="360" w:lineRule="auto"/>
        <w:outlineLvl w:val="0"/>
        <w:rPr>
          <w:b/>
          <w:sz w:val="24"/>
          <w:lang w:eastAsia="zh-CN"/>
        </w:rPr>
      </w:pPr>
      <w:r>
        <w:rPr>
          <w:b/>
          <w:sz w:val="24"/>
          <w:lang w:eastAsia="zh-CN"/>
        </w:rPr>
        <w:t>（四）基金托管</w:t>
      </w:r>
      <w:r>
        <w:rPr>
          <w:rFonts w:ascii="宋体" w:hAnsi="宋体"/>
          <w:b/>
          <w:bCs/>
          <w:sz w:val="24"/>
          <w:lang w:eastAsia="zh-CN"/>
        </w:rPr>
        <w:t>协议</w:t>
      </w:r>
      <w:r>
        <w:rPr>
          <w:b/>
          <w:sz w:val="24"/>
          <w:lang w:eastAsia="zh-CN"/>
        </w:rPr>
        <w:t>一式</w:t>
      </w:r>
      <w:r>
        <w:rPr>
          <w:b/>
          <w:sz w:val="24"/>
          <w:lang w:eastAsia="zh-CN"/>
        </w:rPr>
        <w:t>6</w:t>
      </w:r>
      <w:r>
        <w:rPr>
          <w:b/>
          <w:sz w:val="24"/>
          <w:lang w:eastAsia="zh-CN"/>
        </w:rPr>
        <w:t>份，除上报中国证监会和中国银保监会各</w:t>
      </w:r>
      <w:r>
        <w:rPr>
          <w:b/>
          <w:sz w:val="24"/>
          <w:lang w:eastAsia="zh-CN"/>
        </w:rPr>
        <w:t>1</w:t>
      </w:r>
      <w:r>
        <w:rPr>
          <w:b/>
          <w:sz w:val="24"/>
          <w:lang w:eastAsia="zh-CN"/>
        </w:rPr>
        <w:t>份外，基金管理人和基金托管人分别持有</w:t>
      </w:r>
      <w:r>
        <w:rPr>
          <w:b/>
          <w:sz w:val="24"/>
          <w:lang w:eastAsia="zh-CN"/>
        </w:rPr>
        <w:t>2</w:t>
      </w:r>
      <w:r>
        <w:rPr>
          <w:b/>
          <w:sz w:val="24"/>
          <w:lang w:eastAsia="zh-CN"/>
        </w:rPr>
        <w:t>份，每份具有同等的法律效力。</w:t>
      </w:r>
    </w:p>
    <w:p w:rsidR="002169D4" w:rsidRDefault="0026776B">
      <w:pPr>
        <w:pStyle w:val="1"/>
        <w:rPr>
          <w:lang w:eastAsia="zh-CN"/>
        </w:rPr>
      </w:pPr>
      <w:bookmarkStart w:id="135" w:name="_Toc291504148"/>
      <w:r>
        <w:rPr>
          <w:lang w:eastAsia="zh-CN"/>
        </w:rPr>
        <w:t>二十、其他事项</w:t>
      </w:r>
      <w:bookmarkEnd w:id="135"/>
    </w:p>
    <w:p w:rsidR="002169D4" w:rsidRDefault="0026776B">
      <w:pPr>
        <w:spacing w:line="360" w:lineRule="auto"/>
        <w:ind w:firstLine="480"/>
        <w:rPr>
          <w:rFonts w:ascii="宋体" w:hAnsi="宋体"/>
          <w:sz w:val="24"/>
          <w:lang w:eastAsia="zh-CN"/>
        </w:rPr>
      </w:pPr>
      <w:r>
        <w:rPr>
          <w:rFonts w:ascii="宋体" w:hAnsi="宋体"/>
          <w:sz w:val="24"/>
          <w:lang w:eastAsia="zh-CN"/>
        </w:rPr>
        <w:t>本协议未尽事宜，当事人依据基金合同、有关法律法规等规定协商办理。</w:t>
      </w:r>
    </w:p>
    <w:p w:rsidR="002169D4" w:rsidRDefault="0026776B">
      <w:pPr>
        <w:pStyle w:val="1"/>
        <w:rPr>
          <w:lang w:eastAsia="zh-CN"/>
        </w:rPr>
      </w:pPr>
      <w:bookmarkStart w:id="136" w:name="_Toc523830014"/>
      <w:bookmarkStart w:id="137" w:name="_Toc22454484"/>
      <w:bookmarkStart w:id="138" w:name="_Toc291504149"/>
      <w:r>
        <w:rPr>
          <w:lang w:eastAsia="zh-CN"/>
        </w:rPr>
        <w:t>二十一、基金托管协议的签订</w:t>
      </w:r>
      <w:bookmarkEnd w:id="136"/>
      <w:bookmarkEnd w:id="137"/>
      <w:bookmarkEnd w:id="138"/>
    </w:p>
    <w:p w:rsidR="002169D4" w:rsidRDefault="002169D4">
      <w:pPr>
        <w:rPr>
          <w:lang w:eastAsia="zh-CN"/>
        </w:rPr>
      </w:pPr>
    </w:p>
    <w:p w:rsidR="002169D4" w:rsidRDefault="002169D4">
      <w:pPr>
        <w:rPr>
          <w:lang w:eastAsia="zh-CN"/>
        </w:rPr>
      </w:pPr>
    </w:p>
    <w:p w:rsidR="002169D4" w:rsidRDefault="002169D4">
      <w:pPr>
        <w:rPr>
          <w:lang w:eastAsia="zh-CN"/>
        </w:rPr>
      </w:pPr>
    </w:p>
    <w:p w:rsidR="002169D4" w:rsidRDefault="002169D4">
      <w:pPr>
        <w:rPr>
          <w:lang w:eastAsia="zh-CN"/>
        </w:rPr>
      </w:pPr>
    </w:p>
    <w:p w:rsidR="002169D4" w:rsidRDefault="002169D4">
      <w:pPr>
        <w:rPr>
          <w:lang w:eastAsia="zh-CN"/>
        </w:rPr>
      </w:pPr>
    </w:p>
    <w:p w:rsidR="002169D4" w:rsidRDefault="002169D4">
      <w:pPr>
        <w:rPr>
          <w:lang w:eastAsia="zh-CN"/>
        </w:rPr>
      </w:pPr>
    </w:p>
    <w:p w:rsidR="002169D4" w:rsidRDefault="002169D4">
      <w:pPr>
        <w:rPr>
          <w:lang w:eastAsia="zh-CN"/>
        </w:rPr>
      </w:pPr>
    </w:p>
    <w:p w:rsidR="002169D4" w:rsidRDefault="002169D4">
      <w:pPr>
        <w:rPr>
          <w:lang w:eastAsia="zh-CN"/>
        </w:rPr>
      </w:pPr>
    </w:p>
    <w:p w:rsidR="002169D4" w:rsidRDefault="0026776B">
      <w:pPr>
        <w:rPr>
          <w:sz w:val="24"/>
          <w:lang w:eastAsia="zh-CN"/>
        </w:rPr>
      </w:pPr>
      <w:r>
        <w:rPr>
          <w:sz w:val="24"/>
          <w:lang w:eastAsia="zh-CN"/>
        </w:rPr>
        <w:br w:type="page"/>
      </w:r>
    </w:p>
    <w:p w:rsidR="002169D4" w:rsidRDefault="0026776B">
      <w:pPr>
        <w:spacing w:line="360" w:lineRule="auto"/>
        <w:rPr>
          <w:sz w:val="24"/>
          <w:lang w:eastAsia="zh-CN"/>
        </w:rPr>
      </w:pPr>
      <w:r>
        <w:rPr>
          <w:sz w:val="24"/>
          <w:lang w:eastAsia="zh-CN"/>
        </w:rPr>
        <w:lastRenderedPageBreak/>
        <w:t>（本页无正文，为《兴业兴智一年持有期混合型证券投资基金托管协议》的签署页）</w:t>
      </w:r>
    </w:p>
    <w:p w:rsidR="002169D4" w:rsidRDefault="0026776B">
      <w:pPr>
        <w:spacing w:line="360" w:lineRule="auto"/>
        <w:ind w:firstLine="480"/>
        <w:rPr>
          <w:sz w:val="24"/>
          <w:lang w:eastAsia="zh-CN"/>
        </w:rPr>
      </w:pPr>
      <w:r>
        <w:rPr>
          <w:sz w:val="24"/>
          <w:lang w:eastAsia="zh-CN"/>
        </w:rPr>
        <w:t>基金管理人：兴业基金管理有限公司（盖章）</w:t>
      </w: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6776B">
      <w:pPr>
        <w:spacing w:line="360" w:lineRule="auto"/>
        <w:ind w:firstLine="480"/>
        <w:rPr>
          <w:sz w:val="24"/>
          <w:lang w:eastAsia="zh-CN"/>
        </w:rPr>
      </w:pPr>
      <w:r>
        <w:rPr>
          <w:sz w:val="24"/>
          <w:lang w:eastAsia="zh-CN"/>
        </w:rPr>
        <w:t>法定代表人或授权代表（签字或盖章）：</w:t>
      </w: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6776B">
      <w:pPr>
        <w:spacing w:line="360" w:lineRule="auto"/>
        <w:ind w:firstLine="480"/>
        <w:rPr>
          <w:sz w:val="24"/>
          <w:lang w:eastAsia="zh-CN"/>
        </w:rPr>
      </w:pPr>
      <w:r>
        <w:rPr>
          <w:sz w:val="24"/>
          <w:lang w:eastAsia="zh-CN"/>
        </w:rPr>
        <w:t>基金托管人：交通银行股份有限公司（盖章）</w:t>
      </w: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6776B">
      <w:pPr>
        <w:spacing w:line="360" w:lineRule="auto"/>
        <w:ind w:firstLine="480"/>
        <w:rPr>
          <w:sz w:val="24"/>
          <w:lang w:eastAsia="zh-CN"/>
        </w:rPr>
      </w:pPr>
      <w:r>
        <w:rPr>
          <w:sz w:val="24"/>
          <w:lang w:eastAsia="zh-CN"/>
        </w:rPr>
        <w:t>法定代表人或授权代表（签字或盖章）：</w:t>
      </w: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169D4">
      <w:pPr>
        <w:spacing w:line="360" w:lineRule="auto"/>
        <w:ind w:firstLine="480"/>
        <w:rPr>
          <w:sz w:val="24"/>
          <w:lang w:eastAsia="zh-CN"/>
        </w:rPr>
      </w:pPr>
    </w:p>
    <w:p w:rsidR="002169D4" w:rsidRDefault="0026776B">
      <w:pPr>
        <w:spacing w:line="360" w:lineRule="auto"/>
        <w:ind w:firstLine="480"/>
        <w:rPr>
          <w:sz w:val="24"/>
          <w:lang w:eastAsia="zh-CN"/>
        </w:rPr>
      </w:pPr>
      <w:r>
        <w:rPr>
          <w:sz w:val="24"/>
          <w:lang w:eastAsia="zh-CN"/>
        </w:rPr>
        <w:t>签订地点：</w:t>
      </w:r>
    </w:p>
    <w:p w:rsidR="002169D4" w:rsidRDefault="00DC37B2">
      <w:pPr>
        <w:spacing w:line="360" w:lineRule="auto"/>
        <w:ind w:firstLine="525"/>
        <w:rPr>
          <w:sz w:val="24"/>
          <w:lang w:eastAsia="zh-CN"/>
        </w:rPr>
      </w:pPr>
      <w:r>
        <w:rPr>
          <w:noProof/>
          <w:lang w:eastAsia="zh-CN" w:bidi="ar-SA"/>
        </w:rPr>
        <mc:AlternateContent>
          <mc:Choice Requires="wps">
            <w:drawing>
              <wp:anchor distT="0" distB="0" distL="114300" distR="114300" simplePos="0" relativeHeight="524288" behindDoc="0" locked="0" layoutInCell="1" allowOverlap="1" wp14:anchorId="3B0CFC05">
                <wp:simplePos x="0" y="0"/>
                <wp:positionH relativeFrom="column">
                  <wp:posOffset>2286000</wp:posOffset>
                </wp:positionH>
                <wp:positionV relativeFrom="paragraph">
                  <wp:posOffset>693420</wp:posOffset>
                </wp:positionV>
                <wp:extent cx="800100" cy="495300"/>
                <wp:effectExtent l="0" t="0" r="1905" b="0"/>
                <wp:wrapNone/>
                <wp:docPr id="1"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custGeom>
                          <a:avLst/>
                          <a:gdLst>
                            <a:gd name="T0" fmla="*/ 0 w 100000"/>
                            <a:gd name="T1" fmla="*/ 0 h 100000"/>
                            <a:gd name="T2" fmla="*/ 0 w 100000"/>
                            <a:gd name="T3" fmla="*/ 0 h 100000"/>
                          </a:gdLst>
                          <a:ahLst/>
                          <a:cxnLst/>
                          <a:rect l="T0" t="T1" r="T2" b="T3"/>
                          <a:pathLst/>
                        </a:custGeom>
                        <a:solidFill>
                          <a:srgbClr val="FFFFFF"/>
                        </a:solidFill>
                        <a:ln w="9525">
                          <a:solidFill>
                            <a:srgbClr val="FFFFFF"/>
                          </a:solidFill>
                          <a:round/>
                          <a:headEnd/>
                          <a:tailEnd/>
                        </a:ln>
                      </wps:spPr>
                      <wps:txbx>
                        <w:txbxContent>
                          <w:p w:rsidR="002169D4" w:rsidRDefault="002169D4"/>
                          <w:p w:rsidR="002169D4" w:rsidRDefault="00216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FC05" id="shape 0" o:spid="_x0000_s1026" style="position:absolute;left:0;text-align:left;margin-left:180pt;margin-top:54.6pt;width:63pt;height:39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" adj="-11796480,,5400" path="al10800,10800@8@8@4@6,10800,10800,10800,10800@9@7l@30@31@17@18@24@25@15@16@32@33xe" strokecolor="white">
                <v:stroke joinstyle="round"/>
                <v:formulas/>
                <v:path o:connecttype="custom" textboxrect="@1,@1,@1,@1"/>
                <v:textbox>
                  <w:txbxContent>
                    <w:p w:rsidR="002169D4" w:rsidRDefault="002169D4"/>
                    <w:p w:rsidR="002169D4" w:rsidRDefault="002169D4"/>
                  </w:txbxContent>
                </v:textbox>
              </v:shape>
            </w:pict>
          </mc:Fallback>
        </mc:AlternateContent>
      </w:r>
      <w:r w:rsidR="0026776B">
        <w:rPr>
          <w:sz w:val="24"/>
          <w:lang w:eastAsia="zh-CN"/>
        </w:rPr>
        <w:t>签订日期：</w:t>
      </w:r>
      <w:r w:rsidR="0026776B">
        <w:rPr>
          <w:sz w:val="24"/>
          <w:lang w:eastAsia="zh-CN"/>
        </w:rPr>
        <w:t xml:space="preserve">      </w:t>
      </w:r>
      <w:r w:rsidR="0026776B">
        <w:rPr>
          <w:sz w:val="24"/>
          <w:lang w:eastAsia="zh-CN"/>
        </w:rPr>
        <w:t>年</w:t>
      </w:r>
      <w:r w:rsidR="0026776B">
        <w:rPr>
          <w:sz w:val="24"/>
          <w:lang w:eastAsia="zh-CN"/>
        </w:rPr>
        <w:t xml:space="preserve">   </w:t>
      </w:r>
      <w:r w:rsidR="0026776B">
        <w:rPr>
          <w:sz w:val="24"/>
          <w:lang w:eastAsia="zh-CN"/>
        </w:rPr>
        <w:t>月</w:t>
      </w:r>
      <w:r w:rsidR="0026776B">
        <w:rPr>
          <w:sz w:val="24"/>
          <w:lang w:eastAsia="zh-CN"/>
        </w:rPr>
        <w:t xml:space="preserve">   </w:t>
      </w:r>
      <w:r w:rsidR="0026776B">
        <w:rPr>
          <w:sz w:val="24"/>
          <w:lang w:eastAsia="zh-CN"/>
        </w:rPr>
        <w:t>日</w:t>
      </w:r>
    </w:p>
    <w:sectPr w:rsidR="002169D4" w:rsidSect="002169D4">
      <w:headerReference w:type="default" r:id="rId10"/>
      <w:footerReference w:type="default" r:id="rId11"/>
      <w:pgSz w:w="11906" w:h="16838"/>
      <w:pgMar w:top="1440" w:right="1797" w:bottom="1440" w:left="1797" w:header="851" w:footer="992" w:gutter="0"/>
      <w:pgNumType w:start="1"/>
      <w:cols w:space="425"/>
      <w:titlePg/>
      <w:docGrid w:type="linesAndChars" w:linePitch="312"/>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38C877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5E" w:rsidRDefault="0055335E" w:rsidP="002169D4">
      <w:r>
        <w:separator/>
      </w:r>
    </w:p>
  </w:endnote>
  <w:endnote w:type="continuationSeparator" w:id="0">
    <w:p w:rsidR="0055335E" w:rsidRDefault="0055335E" w:rsidP="002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D4" w:rsidRDefault="001F1C51">
    <w:pPr>
      <w:pStyle w:val="ae"/>
      <w:rPr>
        <w:rStyle w:val="af"/>
      </w:rPr>
    </w:pPr>
    <w:r>
      <w:rPr>
        <w:rStyle w:val="af"/>
      </w:rPr>
      <w:fldChar w:fldCharType="begin"/>
    </w:r>
    <w:r w:rsidR="0026776B">
      <w:rPr>
        <w:rStyle w:val="af"/>
      </w:rPr>
      <w:instrText xml:space="preserve">PAGE  </w:instrText>
    </w:r>
    <w:r>
      <w:rPr>
        <w:rStyle w:val="af"/>
      </w:rPr>
      <w:fldChar w:fldCharType="end"/>
    </w:r>
  </w:p>
  <w:p w:rsidR="002169D4" w:rsidRDefault="002169D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D4" w:rsidRDefault="002169D4">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D4" w:rsidRDefault="001F1C51">
    <w:pPr>
      <w:pStyle w:val="ae"/>
      <w:jc w:val="center"/>
      <w:rPr>
        <w:rStyle w:val="af"/>
      </w:rPr>
    </w:pPr>
    <w:r>
      <w:rPr>
        <w:rStyle w:val="af"/>
      </w:rPr>
      <w:fldChar w:fldCharType="begin"/>
    </w:r>
    <w:r w:rsidR="0026776B">
      <w:rPr>
        <w:rStyle w:val="af"/>
      </w:rPr>
      <w:instrText xml:space="preserve">PAGE  </w:instrText>
    </w:r>
    <w:r>
      <w:rPr>
        <w:rStyle w:val="af"/>
      </w:rPr>
      <w:fldChar w:fldCharType="separate"/>
    </w:r>
    <w:r w:rsidR="00DC37B2">
      <w:rPr>
        <w:rStyle w:val="af"/>
        <w:noProof/>
      </w:rPr>
      <w:t>3</w:t>
    </w:r>
    <w:r>
      <w:rPr>
        <w:rStyle w:val="af"/>
      </w:rPr>
      <w:fldChar w:fldCharType="end"/>
    </w:r>
  </w:p>
  <w:p w:rsidR="002169D4" w:rsidRDefault="002169D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5E" w:rsidRDefault="0055335E">
      <w:r>
        <w:separator/>
      </w:r>
    </w:p>
  </w:footnote>
  <w:footnote w:type="continuationSeparator" w:id="0">
    <w:p w:rsidR="0055335E" w:rsidRDefault="0055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D4" w:rsidRDefault="0026776B">
    <w:pPr>
      <w:pStyle w:val="ad"/>
      <w:jc w:val="left"/>
      <w:rPr>
        <w:lang w:eastAsia="zh-CN"/>
      </w:rPr>
    </w:pPr>
    <w:r>
      <w:rPr>
        <w:rFonts w:ascii="宋体" w:hAnsi="宋体"/>
        <w:szCs w:val="21"/>
        <w:lang w:eastAsia="zh-CN"/>
      </w:rPr>
      <w:t>兴业兴智一年持有期混合型证券投资基金</w:t>
    </w:r>
    <w:r>
      <w:rPr>
        <w:lang w:eastAsia="zh-CN"/>
      </w:rPr>
      <w:t xml:space="preserve">                                       </w:t>
    </w:r>
    <w:r w:rsidR="00DC37B2">
      <w:rPr>
        <w:lang w:eastAsia="zh-CN"/>
      </w:rPr>
      <w:t xml:space="preserve">        </w:t>
    </w:r>
    <w:r>
      <w:rPr>
        <w:lang w:eastAsia="zh-CN"/>
      </w:rPr>
      <w:t xml:space="preserve"> </w:t>
    </w:r>
    <w:r>
      <w:rPr>
        <w:lang w:eastAsia="zh-CN"/>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D4" w:rsidRDefault="0026776B">
    <w:pPr>
      <w:pStyle w:val="ad"/>
      <w:jc w:val="left"/>
      <w:rPr>
        <w:lang w:eastAsia="zh-CN"/>
      </w:rPr>
    </w:pPr>
    <w:r>
      <w:rPr>
        <w:lang w:eastAsia="zh-CN"/>
      </w:rPr>
      <w:t>兴业兴智一年持有期混合型证券投资基金</w:t>
    </w:r>
    <w:r>
      <w:rPr>
        <w:lang w:eastAsia="zh-CN"/>
      </w:rPr>
      <w:t xml:space="preserve">                                        </w:t>
    </w:r>
    <w:r w:rsidR="00DC37B2">
      <w:rPr>
        <w:lang w:eastAsia="zh-CN"/>
      </w:rPr>
      <w:t xml:space="preserve">      </w:t>
    </w:r>
    <w:r w:rsidR="00DC37B2">
      <w:rPr>
        <w:lang w:eastAsia="zh-CN"/>
      </w:rPr>
      <w:t>托管协议</w:t>
    </w:r>
    <w:r>
      <w:rPr>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42500"/>
    <w:multiLevelType w:val="hybridMultilevel"/>
    <w:tmpl w:val="4D925C5A"/>
    <w:lvl w:ilvl="0" w:tplc="53762FEE">
      <w:start w:val="1"/>
      <w:numFmt w:val="bullet"/>
      <w:lvlText w:val=""/>
      <w:lvlJc w:val="left"/>
      <w:pPr>
        <w:tabs>
          <w:tab w:val="num" w:pos="840"/>
        </w:tabs>
        <w:snapToGrid/>
        <w:ind w:left="840" w:hanging="420"/>
      </w:pPr>
      <w:rPr>
        <w:rFonts w:ascii="Wingdings" w:hAnsi="Wingdings"/>
      </w:rPr>
    </w:lvl>
    <w:lvl w:ilvl="1" w:tplc="4970C120">
      <w:start w:val="1"/>
      <w:numFmt w:val="bullet"/>
      <w:lvlText w:val=""/>
      <w:lvlJc w:val="left"/>
      <w:pPr>
        <w:tabs>
          <w:tab w:val="num" w:pos="1260"/>
        </w:tabs>
        <w:snapToGrid/>
        <w:ind w:left="1260" w:hanging="420"/>
      </w:pPr>
      <w:rPr>
        <w:rFonts w:ascii="Wingdings" w:hAnsi="Wingdings"/>
      </w:rPr>
    </w:lvl>
    <w:lvl w:ilvl="2" w:tplc="728A7970">
      <w:start w:val="1"/>
      <w:numFmt w:val="bullet"/>
      <w:lvlText w:val=""/>
      <w:lvlJc w:val="left"/>
      <w:pPr>
        <w:tabs>
          <w:tab w:val="num" w:pos="1680"/>
        </w:tabs>
        <w:snapToGrid/>
        <w:ind w:left="1680" w:hanging="420"/>
      </w:pPr>
      <w:rPr>
        <w:rFonts w:ascii="Wingdings" w:hAnsi="Wingdings"/>
      </w:rPr>
    </w:lvl>
    <w:lvl w:ilvl="3" w:tplc="39D87C08">
      <w:start w:val="1"/>
      <w:numFmt w:val="bullet"/>
      <w:lvlText w:val=""/>
      <w:lvlJc w:val="left"/>
      <w:pPr>
        <w:tabs>
          <w:tab w:val="num" w:pos="2100"/>
        </w:tabs>
        <w:snapToGrid/>
        <w:ind w:left="2100" w:hanging="420"/>
      </w:pPr>
      <w:rPr>
        <w:rFonts w:ascii="Wingdings" w:hAnsi="Wingdings"/>
      </w:rPr>
    </w:lvl>
    <w:lvl w:ilvl="4" w:tplc="C00283CC">
      <w:start w:val="1"/>
      <w:numFmt w:val="bullet"/>
      <w:lvlText w:val=""/>
      <w:lvlJc w:val="left"/>
      <w:pPr>
        <w:tabs>
          <w:tab w:val="num" w:pos="2520"/>
        </w:tabs>
        <w:snapToGrid/>
        <w:ind w:left="2520" w:hanging="420"/>
      </w:pPr>
      <w:rPr>
        <w:rFonts w:ascii="Wingdings" w:hAnsi="Wingdings"/>
      </w:rPr>
    </w:lvl>
    <w:lvl w:ilvl="5" w:tplc="A022A056">
      <w:start w:val="1"/>
      <w:numFmt w:val="bullet"/>
      <w:lvlText w:val=""/>
      <w:lvlJc w:val="left"/>
      <w:pPr>
        <w:tabs>
          <w:tab w:val="num" w:pos="2940"/>
        </w:tabs>
        <w:snapToGrid/>
        <w:ind w:left="2940" w:hanging="420"/>
      </w:pPr>
      <w:rPr>
        <w:rFonts w:ascii="Wingdings" w:hAnsi="Wingdings"/>
      </w:rPr>
    </w:lvl>
    <w:lvl w:ilvl="6" w:tplc="AA145516">
      <w:start w:val="1"/>
      <w:numFmt w:val="bullet"/>
      <w:lvlText w:val=""/>
      <w:lvlJc w:val="left"/>
      <w:pPr>
        <w:tabs>
          <w:tab w:val="num" w:pos="3360"/>
        </w:tabs>
        <w:snapToGrid/>
        <w:ind w:left="3360" w:hanging="420"/>
      </w:pPr>
      <w:rPr>
        <w:rFonts w:ascii="Wingdings" w:hAnsi="Wingdings"/>
      </w:rPr>
    </w:lvl>
    <w:lvl w:ilvl="7" w:tplc="BAB6592C">
      <w:start w:val="1"/>
      <w:numFmt w:val="bullet"/>
      <w:lvlText w:val=""/>
      <w:lvlJc w:val="left"/>
      <w:pPr>
        <w:tabs>
          <w:tab w:val="num" w:pos="3780"/>
        </w:tabs>
        <w:snapToGrid/>
        <w:ind w:left="3780" w:hanging="420"/>
      </w:pPr>
      <w:rPr>
        <w:rFonts w:ascii="Wingdings" w:hAnsi="Wingdings"/>
      </w:rPr>
    </w:lvl>
    <w:lvl w:ilvl="8" w:tplc="40F2FC86">
      <w:start w:val="1"/>
      <w:numFmt w:val="bullet"/>
      <w:lvlText w:val=""/>
      <w:lvlJc w:val="left"/>
      <w:pPr>
        <w:tabs>
          <w:tab w:val="num" w:pos="4200"/>
        </w:tabs>
        <w:snapToGrid/>
        <w:ind w:left="4200" w:hanging="420"/>
      </w:pPr>
      <w:rPr>
        <w:rFonts w:ascii="Wingdings" w:hAnsi="Wingdings"/>
      </w:rPr>
    </w:lvl>
  </w:abstractNum>
  <w:abstractNum w:abstractNumId="1">
    <w:nsid w:val="1A0264B1"/>
    <w:multiLevelType w:val="hybridMultilevel"/>
    <w:tmpl w:val="33D86B16"/>
    <w:lvl w:ilvl="0" w:tplc="BBAEB67C">
      <w:start w:val="2"/>
      <w:numFmt w:val="decimal"/>
      <w:lvlText w:val="%1）"/>
      <w:lvlJc w:val="left"/>
      <w:pPr>
        <w:tabs>
          <w:tab w:val="num" w:pos="780"/>
        </w:tabs>
        <w:snapToGrid/>
        <w:ind w:left="780" w:hanging="360"/>
      </w:pPr>
    </w:lvl>
    <w:lvl w:ilvl="1" w:tplc="21727090">
      <w:start w:val="1"/>
      <w:numFmt w:val="lowerLetter"/>
      <w:lvlText w:val="%2)"/>
      <w:lvlJc w:val="left"/>
      <w:pPr>
        <w:tabs>
          <w:tab w:val="num" w:pos="1260"/>
        </w:tabs>
        <w:snapToGrid/>
        <w:ind w:left="1260" w:hanging="420"/>
      </w:pPr>
    </w:lvl>
    <w:lvl w:ilvl="2" w:tplc="B8E845D6">
      <w:start w:val="1"/>
      <w:numFmt w:val="lowerRoman"/>
      <w:lvlText w:val="%3."/>
      <w:lvlJc w:val="right"/>
      <w:pPr>
        <w:tabs>
          <w:tab w:val="num" w:pos="1680"/>
        </w:tabs>
        <w:snapToGrid/>
        <w:ind w:left="1680" w:hanging="420"/>
      </w:pPr>
    </w:lvl>
    <w:lvl w:ilvl="3" w:tplc="B1604E80">
      <w:start w:val="1"/>
      <w:numFmt w:val="decimal"/>
      <w:lvlText w:val="%4."/>
      <w:lvlJc w:val="left"/>
      <w:pPr>
        <w:tabs>
          <w:tab w:val="num" w:pos="2100"/>
        </w:tabs>
        <w:snapToGrid/>
        <w:ind w:left="2100" w:hanging="420"/>
      </w:pPr>
    </w:lvl>
    <w:lvl w:ilvl="4" w:tplc="D9DEA1B0">
      <w:start w:val="1"/>
      <w:numFmt w:val="lowerLetter"/>
      <w:lvlText w:val="%5)"/>
      <w:lvlJc w:val="left"/>
      <w:pPr>
        <w:tabs>
          <w:tab w:val="num" w:pos="2520"/>
        </w:tabs>
        <w:snapToGrid/>
        <w:ind w:left="2520" w:hanging="420"/>
      </w:pPr>
    </w:lvl>
    <w:lvl w:ilvl="5" w:tplc="6FF6C8F6">
      <w:start w:val="1"/>
      <w:numFmt w:val="lowerRoman"/>
      <w:lvlText w:val="%6."/>
      <w:lvlJc w:val="right"/>
      <w:pPr>
        <w:tabs>
          <w:tab w:val="num" w:pos="2940"/>
        </w:tabs>
        <w:snapToGrid/>
        <w:ind w:left="2940" w:hanging="420"/>
      </w:pPr>
    </w:lvl>
    <w:lvl w:ilvl="6" w:tplc="01323B2E">
      <w:start w:val="1"/>
      <w:numFmt w:val="decimal"/>
      <w:lvlText w:val="%7."/>
      <w:lvlJc w:val="left"/>
      <w:pPr>
        <w:tabs>
          <w:tab w:val="num" w:pos="3360"/>
        </w:tabs>
        <w:snapToGrid/>
        <w:ind w:left="3360" w:hanging="420"/>
      </w:pPr>
    </w:lvl>
    <w:lvl w:ilvl="7" w:tplc="A966227A">
      <w:start w:val="1"/>
      <w:numFmt w:val="lowerLetter"/>
      <w:lvlText w:val="%8)"/>
      <w:lvlJc w:val="left"/>
      <w:pPr>
        <w:tabs>
          <w:tab w:val="num" w:pos="3780"/>
        </w:tabs>
        <w:snapToGrid/>
        <w:ind w:left="3780" w:hanging="420"/>
      </w:pPr>
    </w:lvl>
    <w:lvl w:ilvl="8" w:tplc="297E204E">
      <w:start w:val="1"/>
      <w:numFmt w:val="lowerRoman"/>
      <w:lvlText w:val="%9."/>
      <w:lvlJc w:val="right"/>
      <w:pPr>
        <w:tabs>
          <w:tab w:val="num" w:pos="4200"/>
        </w:tabs>
        <w:snapToGrid/>
        <w:ind w:left="4200" w:hanging="420"/>
      </w:pPr>
    </w:lvl>
  </w:abstractNum>
  <w:abstractNum w:abstractNumId="2">
    <w:nsid w:val="1C2451D7"/>
    <w:multiLevelType w:val="hybridMultilevel"/>
    <w:tmpl w:val="E1564364"/>
    <w:lvl w:ilvl="0" w:tplc="A808BC58">
      <w:start w:val="1"/>
      <w:numFmt w:val="decimal"/>
      <w:lvlText w:val="%1）"/>
      <w:lvlJc w:val="left"/>
      <w:pPr>
        <w:tabs>
          <w:tab w:val="num" w:pos="1260"/>
        </w:tabs>
        <w:snapToGrid/>
        <w:ind w:left="1260" w:hanging="420"/>
      </w:pPr>
      <w:rPr>
        <w:rFonts w:ascii="Times New Roman" w:eastAsia="宋体" w:hAnsi="Times New Roman"/>
      </w:rPr>
    </w:lvl>
    <w:lvl w:ilvl="1" w:tplc="0DB40776">
      <w:start w:val="1"/>
      <w:numFmt w:val="bullet"/>
      <w:lvlText w:val=""/>
      <w:lvlJc w:val="left"/>
      <w:pPr>
        <w:tabs>
          <w:tab w:val="num" w:pos="1680"/>
        </w:tabs>
        <w:snapToGrid/>
        <w:ind w:left="1680" w:hanging="420"/>
      </w:pPr>
      <w:rPr>
        <w:rFonts w:ascii="Wingdings" w:hAnsi="Wingdings"/>
      </w:rPr>
    </w:lvl>
    <w:lvl w:ilvl="2" w:tplc="93CC95BA">
      <w:start w:val="1"/>
      <w:numFmt w:val="bullet"/>
      <w:lvlText w:val=""/>
      <w:lvlJc w:val="left"/>
      <w:pPr>
        <w:tabs>
          <w:tab w:val="num" w:pos="2100"/>
        </w:tabs>
        <w:snapToGrid/>
        <w:ind w:left="2100" w:hanging="420"/>
      </w:pPr>
      <w:rPr>
        <w:rFonts w:ascii="Wingdings" w:hAnsi="Wingdings"/>
      </w:rPr>
    </w:lvl>
    <w:lvl w:ilvl="3" w:tplc="A178EDF8">
      <w:start w:val="1"/>
      <w:numFmt w:val="bullet"/>
      <w:lvlText w:val=""/>
      <w:lvlJc w:val="left"/>
      <w:pPr>
        <w:tabs>
          <w:tab w:val="num" w:pos="2520"/>
        </w:tabs>
        <w:snapToGrid/>
        <w:ind w:left="2520" w:hanging="420"/>
      </w:pPr>
      <w:rPr>
        <w:rFonts w:ascii="Wingdings" w:hAnsi="Wingdings"/>
      </w:rPr>
    </w:lvl>
    <w:lvl w:ilvl="4" w:tplc="CC4E8B26">
      <w:start w:val="1"/>
      <w:numFmt w:val="bullet"/>
      <w:lvlText w:val=""/>
      <w:lvlJc w:val="left"/>
      <w:pPr>
        <w:tabs>
          <w:tab w:val="num" w:pos="2940"/>
        </w:tabs>
        <w:snapToGrid/>
        <w:ind w:left="2940" w:hanging="420"/>
      </w:pPr>
      <w:rPr>
        <w:rFonts w:ascii="Wingdings" w:hAnsi="Wingdings"/>
      </w:rPr>
    </w:lvl>
    <w:lvl w:ilvl="5" w:tplc="D2442450">
      <w:start w:val="1"/>
      <w:numFmt w:val="bullet"/>
      <w:lvlText w:val=""/>
      <w:lvlJc w:val="left"/>
      <w:pPr>
        <w:tabs>
          <w:tab w:val="num" w:pos="3360"/>
        </w:tabs>
        <w:snapToGrid/>
        <w:ind w:left="3360" w:hanging="420"/>
      </w:pPr>
      <w:rPr>
        <w:rFonts w:ascii="Wingdings" w:hAnsi="Wingdings"/>
      </w:rPr>
    </w:lvl>
    <w:lvl w:ilvl="6" w:tplc="6E6CB2B4">
      <w:start w:val="1"/>
      <w:numFmt w:val="bullet"/>
      <w:lvlText w:val=""/>
      <w:lvlJc w:val="left"/>
      <w:pPr>
        <w:tabs>
          <w:tab w:val="num" w:pos="3780"/>
        </w:tabs>
        <w:snapToGrid/>
        <w:ind w:left="3780" w:hanging="420"/>
      </w:pPr>
      <w:rPr>
        <w:rFonts w:ascii="Wingdings" w:hAnsi="Wingdings"/>
      </w:rPr>
    </w:lvl>
    <w:lvl w:ilvl="7" w:tplc="44968322">
      <w:start w:val="1"/>
      <w:numFmt w:val="bullet"/>
      <w:lvlText w:val=""/>
      <w:lvlJc w:val="left"/>
      <w:pPr>
        <w:tabs>
          <w:tab w:val="num" w:pos="4200"/>
        </w:tabs>
        <w:snapToGrid/>
        <w:ind w:left="4200" w:hanging="420"/>
      </w:pPr>
      <w:rPr>
        <w:rFonts w:ascii="Wingdings" w:hAnsi="Wingdings"/>
      </w:rPr>
    </w:lvl>
    <w:lvl w:ilvl="8" w:tplc="14067EEE">
      <w:start w:val="1"/>
      <w:numFmt w:val="bullet"/>
      <w:lvlText w:val=""/>
      <w:lvlJc w:val="left"/>
      <w:pPr>
        <w:tabs>
          <w:tab w:val="num" w:pos="4620"/>
        </w:tabs>
        <w:snapToGrid/>
        <w:ind w:left="4620" w:hanging="420"/>
      </w:pPr>
      <w:rPr>
        <w:rFonts w:ascii="Wingdings" w:hAnsi="Wingdings"/>
      </w:rPr>
    </w:lvl>
  </w:abstractNum>
  <w:abstractNum w:abstractNumId="3">
    <w:nsid w:val="20EF352F"/>
    <w:multiLevelType w:val="hybridMultilevel"/>
    <w:tmpl w:val="092C43F2"/>
    <w:lvl w:ilvl="0" w:tplc="F2286AC6">
      <w:start w:val="1"/>
      <w:numFmt w:val="decimal"/>
      <w:lvlText w:val="%1."/>
      <w:lvlJc w:val="left"/>
      <w:pPr>
        <w:tabs>
          <w:tab w:val="num" w:pos="840"/>
        </w:tabs>
        <w:snapToGrid/>
        <w:ind w:left="840" w:hanging="420"/>
      </w:pPr>
    </w:lvl>
    <w:lvl w:ilvl="1" w:tplc="CBD06BB4">
      <w:start w:val="1"/>
      <w:numFmt w:val="lowerLetter"/>
      <w:lvlText w:val="%2)"/>
      <w:lvlJc w:val="left"/>
      <w:pPr>
        <w:tabs>
          <w:tab w:val="num" w:pos="1260"/>
        </w:tabs>
        <w:snapToGrid/>
        <w:ind w:left="1260" w:hanging="420"/>
      </w:pPr>
    </w:lvl>
    <w:lvl w:ilvl="2" w:tplc="38EAE032">
      <w:start w:val="1"/>
      <w:numFmt w:val="lowerRoman"/>
      <w:lvlText w:val="%3."/>
      <w:lvlJc w:val="right"/>
      <w:pPr>
        <w:tabs>
          <w:tab w:val="num" w:pos="1680"/>
        </w:tabs>
        <w:snapToGrid/>
        <w:ind w:left="1680" w:hanging="420"/>
      </w:pPr>
    </w:lvl>
    <w:lvl w:ilvl="3" w:tplc="86E206AC">
      <w:start w:val="1"/>
      <w:numFmt w:val="decimal"/>
      <w:lvlText w:val="%4."/>
      <w:lvlJc w:val="left"/>
      <w:pPr>
        <w:tabs>
          <w:tab w:val="num" w:pos="2100"/>
        </w:tabs>
        <w:snapToGrid/>
        <w:ind w:left="2100" w:hanging="420"/>
      </w:pPr>
    </w:lvl>
    <w:lvl w:ilvl="4" w:tplc="3D6EF34C">
      <w:start w:val="1"/>
      <w:numFmt w:val="lowerLetter"/>
      <w:lvlText w:val="%5)"/>
      <w:lvlJc w:val="left"/>
      <w:pPr>
        <w:tabs>
          <w:tab w:val="num" w:pos="2520"/>
        </w:tabs>
        <w:snapToGrid/>
        <w:ind w:left="2520" w:hanging="420"/>
      </w:pPr>
    </w:lvl>
    <w:lvl w:ilvl="5" w:tplc="47A86866">
      <w:start w:val="1"/>
      <w:numFmt w:val="lowerRoman"/>
      <w:lvlText w:val="%6."/>
      <w:lvlJc w:val="right"/>
      <w:pPr>
        <w:tabs>
          <w:tab w:val="num" w:pos="2940"/>
        </w:tabs>
        <w:snapToGrid/>
        <w:ind w:left="2940" w:hanging="420"/>
      </w:pPr>
    </w:lvl>
    <w:lvl w:ilvl="6" w:tplc="92E625D0">
      <w:start w:val="1"/>
      <w:numFmt w:val="decimal"/>
      <w:lvlText w:val="%7."/>
      <w:lvlJc w:val="left"/>
      <w:pPr>
        <w:tabs>
          <w:tab w:val="num" w:pos="3360"/>
        </w:tabs>
        <w:snapToGrid/>
        <w:ind w:left="3360" w:hanging="420"/>
      </w:pPr>
    </w:lvl>
    <w:lvl w:ilvl="7" w:tplc="E4B470A8">
      <w:start w:val="1"/>
      <w:numFmt w:val="lowerLetter"/>
      <w:lvlText w:val="%8)"/>
      <w:lvlJc w:val="left"/>
      <w:pPr>
        <w:tabs>
          <w:tab w:val="num" w:pos="3780"/>
        </w:tabs>
        <w:snapToGrid/>
        <w:ind w:left="3780" w:hanging="420"/>
      </w:pPr>
    </w:lvl>
    <w:lvl w:ilvl="8" w:tplc="6FE04FBC">
      <w:start w:val="1"/>
      <w:numFmt w:val="lowerRoman"/>
      <w:lvlText w:val="%9."/>
      <w:lvlJc w:val="right"/>
      <w:pPr>
        <w:tabs>
          <w:tab w:val="num" w:pos="4200"/>
        </w:tabs>
        <w:snapToGrid/>
        <w:ind w:left="4200" w:hanging="420"/>
      </w:pPr>
    </w:lvl>
  </w:abstractNum>
  <w:abstractNum w:abstractNumId="4">
    <w:nsid w:val="2344240A"/>
    <w:multiLevelType w:val="hybridMultilevel"/>
    <w:tmpl w:val="8E8AE798"/>
    <w:lvl w:ilvl="0" w:tplc="34224976">
      <w:start w:val="1"/>
      <w:numFmt w:val="decimal"/>
      <w:lvlText w:val="（%1）"/>
      <w:lvlJc w:val="left"/>
      <w:pPr>
        <w:tabs>
          <w:tab w:val="num" w:pos="720"/>
        </w:tabs>
        <w:snapToGrid/>
        <w:ind w:left="720" w:hanging="720"/>
      </w:pPr>
    </w:lvl>
    <w:lvl w:ilvl="1" w:tplc="B9849442">
      <w:start w:val="1"/>
      <w:numFmt w:val="lowerLetter"/>
      <w:lvlText w:val="%2)"/>
      <w:lvlJc w:val="left"/>
      <w:pPr>
        <w:tabs>
          <w:tab w:val="num" w:pos="840"/>
        </w:tabs>
        <w:snapToGrid/>
        <w:ind w:left="840" w:hanging="420"/>
      </w:pPr>
    </w:lvl>
    <w:lvl w:ilvl="2" w:tplc="4E9C12F4">
      <w:start w:val="1"/>
      <w:numFmt w:val="lowerRoman"/>
      <w:lvlText w:val="%3."/>
      <w:lvlJc w:val="right"/>
      <w:pPr>
        <w:tabs>
          <w:tab w:val="num" w:pos="1260"/>
        </w:tabs>
        <w:snapToGrid/>
        <w:ind w:left="1260" w:hanging="420"/>
      </w:pPr>
    </w:lvl>
    <w:lvl w:ilvl="3" w:tplc="6ED8D704">
      <w:start w:val="1"/>
      <w:numFmt w:val="decimal"/>
      <w:lvlText w:val="%4."/>
      <w:lvlJc w:val="left"/>
      <w:pPr>
        <w:tabs>
          <w:tab w:val="num" w:pos="1680"/>
        </w:tabs>
        <w:snapToGrid/>
        <w:ind w:left="1680" w:hanging="420"/>
      </w:pPr>
    </w:lvl>
    <w:lvl w:ilvl="4" w:tplc="4B148D7A">
      <w:start w:val="1"/>
      <w:numFmt w:val="lowerLetter"/>
      <w:lvlText w:val="%5)"/>
      <w:lvlJc w:val="left"/>
      <w:pPr>
        <w:tabs>
          <w:tab w:val="num" w:pos="2100"/>
        </w:tabs>
        <w:snapToGrid/>
        <w:ind w:left="2100" w:hanging="420"/>
      </w:pPr>
    </w:lvl>
    <w:lvl w:ilvl="5" w:tplc="F104CD30">
      <w:start w:val="1"/>
      <w:numFmt w:val="lowerRoman"/>
      <w:lvlText w:val="%6."/>
      <w:lvlJc w:val="right"/>
      <w:pPr>
        <w:tabs>
          <w:tab w:val="num" w:pos="2520"/>
        </w:tabs>
        <w:snapToGrid/>
        <w:ind w:left="2520" w:hanging="420"/>
      </w:pPr>
    </w:lvl>
    <w:lvl w:ilvl="6" w:tplc="3A08D52E">
      <w:start w:val="1"/>
      <w:numFmt w:val="decimal"/>
      <w:lvlText w:val="%7."/>
      <w:lvlJc w:val="left"/>
      <w:pPr>
        <w:tabs>
          <w:tab w:val="num" w:pos="2940"/>
        </w:tabs>
        <w:snapToGrid/>
        <w:ind w:left="2940" w:hanging="420"/>
      </w:pPr>
    </w:lvl>
    <w:lvl w:ilvl="7" w:tplc="CCF80078">
      <w:start w:val="1"/>
      <w:numFmt w:val="lowerLetter"/>
      <w:lvlText w:val="%8)"/>
      <w:lvlJc w:val="left"/>
      <w:pPr>
        <w:tabs>
          <w:tab w:val="num" w:pos="3360"/>
        </w:tabs>
        <w:snapToGrid/>
        <w:ind w:left="3360" w:hanging="420"/>
      </w:pPr>
    </w:lvl>
    <w:lvl w:ilvl="8" w:tplc="57E44CA0">
      <w:start w:val="1"/>
      <w:numFmt w:val="lowerRoman"/>
      <w:lvlText w:val="%9."/>
      <w:lvlJc w:val="right"/>
      <w:pPr>
        <w:tabs>
          <w:tab w:val="num" w:pos="3780"/>
        </w:tabs>
        <w:snapToGrid/>
        <w:ind w:left="3780" w:hanging="420"/>
      </w:pPr>
    </w:lvl>
  </w:abstractNum>
  <w:abstractNum w:abstractNumId="5">
    <w:nsid w:val="293E7CB3"/>
    <w:multiLevelType w:val="hybridMultilevel"/>
    <w:tmpl w:val="899A4AD0"/>
    <w:lvl w:ilvl="0" w:tplc="834C95C2">
      <w:start w:val="1"/>
      <w:numFmt w:val="decimal"/>
      <w:pStyle w:val="UCAlpha2"/>
      <w:lvlText w:val="(%1)"/>
      <w:lvlJc w:val="left"/>
      <w:pPr>
        <w:tabs>
          <w:tab w:val="num" w:pos="1941"/>
        </w:tabs>
        <w:snapToGrid/>
        <w:ind w:left="1941" w:hanging="681"/>
      </w:pPr>
      <w:rPr>
        <w:rFonts w:ascii="Arial" w:hAnsi="Arial"/>
        <w:b w:val="0"/>
        <w:i w:val="0"/>
        <w:sz w:val="20"/>
      </w:rPr>
    </w:lvl>
    <w:lvl w:ilvl="1" w:tplc="A1CC97A8">
      <w:start w:val="1"/>
      <w:numFmt w:val="lowerLetter"/>
      <w:lvlText w:val="%2."/>
      <w:lvlJc w:val="left"/>
      <w:pPr>
        <w:tabs>
          <w:tab w:val="num" w:pos="1620"/>
        </w:tabs>
        <w:snapToGrid/>
        <w:ind w:left="1620" w:hanging="360"/>
      </w:pPr>
    </w:lvl>
    <w:lvl w:ilvl="2" w:tplc="80F007EC">
      <w:start w:val="1"/>
      <w:numFmt w:val="lowerRoman"/>
      <w:lvlText w:val="%3."/>
      <w:lvlJc w:val="right"/>
      <w:pPr>
        <w:tabs>
          <w:tab w:val="num" w:pos="2340"/>
        </w:tabs>
        <w:snapToGrid/>
        <w:ind w:left="2340" w:hanging="180"/>
      </w:pPr>
    </w:lvl>
    <w:lvl w:ilvl="3" w:tplc="558AE0E4">
      <w:start w:val="1"/>
      <w:numFmt w:val="decimal"/>
      <w:lvlText w:val="%4."/>
      <w:lvlJc w:val="left"/>
      <w:pPr>
        <w:tabs>
          <w:tab w:val="num" w:pos="3060"/>
        </w:tabs>
        <w:snapToGrid/>
        <w:ind w:left="3060" w:hanging="360"/>
      </w:pPr>
    </w:lvl>
    <w:lvl w:ilvl="4" w:tplc="2FE4C7CC">
      <w:start w:val="1"/>
      <w:numFmt w:val="lowerLetter"/>
      <w:lvlText w:val="%5."/>
      <w:lvlJc w:val="left"/>
      <w:pPr>
        <w:tabs>
          <w:tab w:val="num" w:pos="3780"/>
        </w:tabs>
        <w:snapToGrid/>
        <w:ind w:left="3780" w:hanging="360"/>
      </w:pPr>
    </w:lvl>
    <w:lvl w:ilvl="5" w:tplc="630400B2">
      <w:start w:val="1"/>
      <w:numFmt w:val="lowerRoman"/>
      <w:lvlText w:val="%6."/>
      <w:lvlJc w:val="right"/>
      <w:pPr>
        <w:tabs>
          <w:tab w:val="num" w:pos="4500"/>
        </w:tabs>
        <w:snapToGrid/>
        <w:ind w:left="4500" w:hanging="180"/>
      </w:pPr>
    </w:lvl>
    <w:lvl w:ilvl="6" w:tplc="008417DE">
      <w:start w:val="1"/>
      <w:numFmt w:val="decimal"/>
      <w:lvlText w:val="%7."/>
      <w:lvlJc w:val="left"/>
      <w:pPr>
        <w:tabs>
          <w:tab w:val="num" w:pos="5220"/>
        </w:tabs>
        <w:snapToGrid/>
        <w:ind w:left="5220" w:hanging="360"/>
      </w:pPr>
    </w:lvl>
    <w:lvl w:ilvl="7" w:tplc="EE107FE2">
      <w:start w:val="1"/>
      <w:numFmt w:val="lowerLetter"/>
      <w:lvlText w:val="%8."/>
      <w:lvlJc w:val="left"/>
      <w:pPr>
        <w:tabs>
          <w:tab w:val="num" w:pos="5940"/>
        </w:tabs>
        <w:snapToGrid/>
        <w:ind w:left="5940" w:hanging="360"/>
      </w:pPr>
    </w:lvl>
    <w:lvl w:ilvl="8" w:tplc="83863D44">
      <w:start w:val="1"/>
      <w:numFmt w:val="lowerRoman"/>
      <w:lvlText w:val="%9."/>
      <w:lvlJc w:val="right"/>
      <w:pPr>
        <w:tabs>
          <w:tab w:val="num" w:pos="6660"/>
        </w:tabs>
        <w:snapToGrid/>
        <w:ind w:left="6660" w:hanging="180"/>
      </w:pPr>
    </w:lvl>
  </w:abstractNum>
  <w:abstractNum w:abstractNumId="6">
    <w:nsid w:val="2D4266A0"/>
    <w:multiLevelType w:val="hybridMultilevel"/>
    <w:tmpl w:val="967A2D96"/>
    <w:lvl w:ilvl="0" w:tplc="3F364B0A">
      <w:start w:val="1"/>
      <w:numFmt w:val="decimal"/>
      <w:lvlText w:val="（%1）"/>
      <w:lvlJc w:val="left"/>
      <w:pPr>
        <w:tabs>
          <w:tab w:val="num" w:pos="840"/>
        </w:tabs>
        <w:snapToGrid/>
        <w:ind w:left="840" w:hanging="420"/>
      </w:pPr>
      <w:rPr>
        <w:rFonts w:ascii="宋体" w:eastAsia="宋体" w:hAnsi="宋体"/>
      </w:rPr>
    </w:lvl>
    <w:lvl w:ilvl="1" w:tplc="55C4BD66">
      <w:start w:val="1"/>
      <w:numFmt w:val="lowerLetter"/>
      <w:lvlText w:val="%2)"/>
      <w:lvlJc w:val="left"/>
      <w:pPr>
        <w:tabs>
          <w:tab w:val="num" w:pos="840"/>
        </w:tabs>
        <w:snapToGrid/>
        <w:ind w:left="840" w:hanging="420"/>
      </w:pPr>
    </w:lvl>
    <w:lvl w:ilvl="2" w:tplc="A6DCE210">
      <w:start w:val="1"/>
      <w:numFmt w:val="lowerRoman"/>
      <w:lvlText w:val="%3."/>
      <w:lvlJc w:val="right"/>
      <w:pPr>
        <w:tabs>
          <w:tab w:val="num" w:pos="1260"/>
        </w:tabs>
        <w:snapToGrid/>
        <w:ind w:left="1260" w:hanging="420"/>
      </w:pPr>
    </w:lvl>
    <w:lvl w:ilvl="3" w:tplc="1F6CEC92">
      <w:start w:val="1"/>
      <w:numFmt w:val="decimal"/>
      <w:lvlText w:val="%4."/>
      <w:lvlJc w:val="left"/>
      <w:pPr>
        <w:tabs>
          <w:tab w:val="num" w:pos="1680"/>
        </w:tabs>
        <w:snapToGrid/>
        <w:ind w:left="1680" w:hanging="420"/>
      </w:pPr>
    </w:lvl>
    <w:lvl w:ilvl="4" w:tplc="47167FD6">
      <w:start w:val="1"/>
      <w:numFmt w:val="lowerLetter"/>
      <w:lvlText w:val="%5)"/>
      <w:lvlJc w:val="left"/>
      <w:pPr>
        <w:tabs>
          <w:tab w:val="num" w:pos="2100"/>
        </w:tabs>
        <w:snapToGrid/>
        <w:ind w:left="2100" w:hanging="420"/>
      </w:pPr>
    </w:lvl>
    <w:lvl w:ilvl="5" w:tplc="BF42E680">
      <w:start w:val="1"/>
      <w:numFmt w:val="lowerRoman"/>
      <w:lvlText w:val="%6."/>
      <w:lvlJc w:val="right"/>
      <w:pPr>
        <w:tabs>
          <w:tab w:val="num" w:pos="2520"/>
        </w:tabs>
        <w:snapToGrid/>
        <w:ind w:left="2520" w:hanging="420"/>
      </w:pPr>
    </w:lvl>
    <w:lvl w:ilvl="6" w:tplc="64AA6126">
      <w:start w:val="1"/>
      <w:numFmt w:val="decimal"/>
      <w:lvlText w:val="%7."/>
      <w:lvlJc w:val="left"/>
      <w:pPr>
        <w:tabs>
          <w:tab w:val="num" w:pos="2940"/>
        </w:tabs>
        <w:snapToGrid/>
        <w:ind w:left="2940" w:hanging="420"/>
      </w:pPr>
    </w:lvl>
    <w:lvl w:ilvl="7" w:tplc="8D0EBACE">
      <w:start w:val="1"/>
      <w:numFmt w:val="lowerLetter"/>
      <w:lvlText w:val="%8)"/>
      <w:lvlJc w:val="left"/>
      <w:pPr>
        <w:tabs>
          <w:tab w:val="num" w:pos="3360"/>
        </w:tabs>
        <w:snapToGrid/>
        <w:ind w:left="3360" w:hanging="420"/>
      </w:pPr>
    </w:lvl>
    <w:lvl w:ilvl="8" w:tplc="0EEE33EC">
      <w:start w:val="1"/>
      <w:numFmt w:val="lowerRoman"/>
      <w:lvlText w:val="%9."/>
      <w:lvlJc w:val="right"/>
      <w:pPr>
        <w:tabs>
          <w:tab w:val="num" w:pos="3780"/>
        </w:tabs>
        <w:snapToGrid/>
        <w:ind w:left="3780" w:hanging="420"/>
      </w:pPr>
    </w:lvl>
  </w:abstractNum>
  <w:abstractNum w:abstractNumId="7">
    <w:nsid w:val="35D32841"/>
    <w:multiLevelType w:val="hybridMultilevel"/>
    <w:tmpl w:val="DA441332"/>
    <w:lvl w:ilvl="0" w:tplc="E6A285B8">
      <w:start w:val="1"/>
      <w:numFmt w:val="bullet"/>
      <w:lvlText w:val=""/>
      <w:lvlJc w:val="left"/>
      <w:pPr>
        <w:tabs>
          <w:tab w:val="num" w:pos="840"/>
        </w:tabs>
        <w:snapToGrid/>
        <w:ind w:left="840" w:hanging="420"/>
      </w:pPr>
      <w:rPr>
        <w:rFonts w:ascii="Wingdings" w:hAnsi="Wingdings"/>
      </w:rPr>
    </w:lvl>
    <w:lvl w:ilvl="1" w:tplc="7408D3B2">
      <w:start w:val="1"/>
      <w:numFmt w:val="bullet"/>
      <w:lvlText w:val=""/>
      <w:lvlJc w:val="left"/>
      <w:pPr>
        <w:tabs>
          <w:tab w:val="num" w:pos="1260"/>
        </w:tabs>
        <w:snapToGrid/>
        <w:ind w:left="1260" w:hanging="420"/>
      </w:pPr>
      <w:rPr>
        <w:rFonts w:ascii="Wingdings" w:hAnsi="Wingdings"/>
      </w:rPr>
    </w:lvl>
    <w:lvl w:ilvl="2" w:tplc="DBE68FDC">
      <w:start w:val="1"/>
      <w:numFmt w:val="bullet"/>
      <w:lvlText w:val=""/>
      <w:lvlJc w:val="left"/>
      <w:pPr>
        <w:tabs>
          <w:tab w:val="num" w:pos="1680"/>
        </w:tabs>
        <w:snapToGrid/>
        <w:ind w:left="1680" w:hanging="420"/>
      </w:pPr>
      <w:rPr>
        <w:rFonts w:ascii="Wingdings" w:hAnsi="Wingdings"/>
      </w:rPr>
    </w:lvl>
    <w:lvl w:ilvl="3" w:tplc="4F3C14CA">
      <w:start w:val="1"/>
      <w:numFmt w:val="bullet"/>
      <w:lvlText w:val=""/>
      <w:lvlJc w:val="left"/>
      <w:pPr>
        <w:tabs>
          <w:tab w:val="num" w:pos="2100"/>
        </w:tabs>
        <w:snapToGrid/>
        <w:ind w:left="2100" w:hanging="420"/>
      </w:pPr>
      <w:rPr>
        <w:rFonts w:ascii="Wingdings" w:hAnsi="Wingdings"/>
      </w:rPr>
    </w:lvl>
    <w:lvl w:ilvl="4" w:tplc="D7E4D764">
      <w:start w:val="1"/>
      <w:numFmt w:val="bullet"/>
      <w:lvlText w:val=""/>
      <w:lvlJc w:val="left"/>
      <w:pPr>
        <w:tabs>
          <w:tab w:val="num" w:pos="2520"/>
        </w:tabs>
        <w:snapToGrid/>
        <w:ind w:left="2520" w:hanging="420"/>
      </w:pPr>
      <w:rPr>
        <w:rFonts w:ascii="Wingdings" w:hAnsi="Wingdings"/>
      </w:rPr>
    </w:lvl>
    <w:lvl w:ilvl="5" w:tplc="B0D8F980">
      <w:start w:val="1"/>
      <w:numFmt w:val="bullet"/>
      <w:lvlText w:val=""/>
      <w:lvlJc w:val="left"/>
      <w:pPr>
        <w:tabs>
          <w:tab w:val="num" w:pos="2940"/>
        </w:tabs>
        <w:snapToGrid/>
        <w:ind w:left="2940" w:hanging="420"/>
      </w:pPr>
      <w:rPr>
        <w:rFonts w:ascii="Wingdings" w:hAnsi="Wingdings"/>
      </w:rPr>
    </w:lvl>
    <w:lvl w:ilvl="6" w:tplc="35125662">
      <w:start w:val="1"/>
      <w:numFmt w:val="bullet"/>
      <w:lvlText w:val=""/>
      <w:lvlJc w:val="left"/>
      <w:pPr>
        <w:tabs>
          <w:tab w:val="num" w:pos="3360"/>
        </w:tabs>
        <w:snapToGrid/>
        <w:ind w:left="3360" w:hanging="420"/>
      </w:pPr>
      <w:rPr>
        <w:rFonts w:ascii="Wingdings" w:hAnsi="Wingdings"/>
      </w:rPr>
    </w:lvl>
    <w:lvl w:ilvl="7" w:tplc="85CC6FF8">
      <w:start w:val="1"/>
      <w:numFmt w:val="bullet"/>
      <w:lvlText w:val=""/>
      <w:lvlJc w:val="left"/>
      <w:pPr>
        <w:tabs>
          <w:tab w:val="num" w:pos="3780"/>
        </w:tabs>
        <w:snapToGrid/>
        <w:ind w:left="3780" w:hanging="420"/>
      </w:pPr>
      <w:rPr>
        <w:rFonts w:ascii="Wingdings" w:hAnsi="Wingdings"/>
      </w:rPr>
    </w:lvl>
    <w:lvl w:ilvl="8" w:tplc="0E681272">
      <w:start w:val="1"/>
      <w:numFmt w:val="bullet"/>
      <w:lvlText w:val=""/>
      <w:lvlJc w:val="left"/>
      <w:pPr>
        <w:tabs>
          <w:tab w:val="num" w:pos="4200"/>
        </w:tabs>
        <w:snapToGrid/>
        <w:ind w:left="4200" w:hanging="420"/>
      </w:pPr>
      <w:rPr>
        <w:rFonts w:ascii="Wingdings" w:hAnsi="Wingdings"/>
      </w:rPr>
    </w:lvl>
  </w:abstractNum>
  <w:abstractNum w:abstractNumId="8">
    <w:nsid w:val="3D6B765D"/>
    <w:multiLevelType w:val="hybridMultilevel"/>
    <w:tmpl w:val="4D82D9B6"/>
    <w:lvl w:ilvl="0" w:tplc="DAF23A2A">
      <w:start w:val="1"/>
      <w:numFmt w:val="decimal"/>
      <w:lvlText w:val="%1）"/>
      <w:lvlJc w:val="left"/>
      <w:pPr>
        <w:tabs>
          <w:tab w:val="num" w:pos="840"/>
        </w:tabs>
        <w:snapToGrid/>
        <w:ind w:left="840" w:hanging="420"/>
      </w:pPr>
      <w:rPr>
        <w:rFonts w:ascii="Times New Roman" w:eastAsia="宋体" w:hAnsi="Times New Roman"/>
      </w:rPr>
    </w:lvl>
    <w:lvl w:ilvl="1" w:tplc="DDB634E6">
      <w:start w:val="1"/>
      <w:numFmt w:val="bullet"/>
      <w:lvlText w:val=""/>
      <w:lvlJc w:val="left"/>
      <w:pPr>
        <w:tabs>
          <w:tab w:val="num" w:pos="1260"/>
        </w:tabs>
        <w:snapToGrid/>
        <w:ind w:left="1260" w:hanging="420"/>
      </w:pPr>
      <w:rPr>
        <w:rFonts w:ascii="Wingdings" w:hAnsi="Wingdings"/>
      </w:rPr>
    </w:lvl>
    <w:lvl w:ilvl="2" w:tplc="A8E857B6">
      <w:start w:val="1"/>
      <w:numFmt w:val="bullet"/>
      <w:lvlText w:val=""/>
      <w:lvlJc w:val="left"/>
      <w:pPr>
        <w:tabs>
          <w:tab w:val="num" w:pos="1680"/>
        </w:tabs>
        <w:snapToGrid/>
        <w:ind w:left="1680" w:hanging="420"/>
      </w:pPr>
      <w:rPr>
        <w:rFonts w:ascii="Wingdings" w:hAnsi="Wingdings"/>
      </w:rPr>
    </w:lvl>
    <w:lvl w:ilvl="3" w:tplc="6E00761C">
      <w:start w:val="1"/>
      <w:numFmt w:val="bullet"/>
      <w:lvlText w:val=""/>
      <w:lvlJc w:val="left"/>
      <w:pPr>
        <w:tabs>
          <w:tab w:val="num" w:pos="2100"/>
        </w:tabs>
        <w:snapToGrid/>
        <w:ind w:left="2100" w:hanging="420"/>
      </w:pPr>
      <w:rPr>
        <w:rFonts w:ascii="Wingdings" w:hAnsi="Wingdings"/>
      </w:rPr>
    </w:lvl>
    <w:lvl w:ilvl="4" w:tplc="AD38D894">
      <w:start w:val="1"/>
      <w:numFmt w:val="bullet"/>
      <w:lvlText w:val=""/>
      <w:lvlJc w:val="left"/>
      <w:pPr>
        <w:tabs>
          <w:tab w:val="num" w:pos="2520"/>
        </w:tabs>
        <w:snapToGrid/>
        <w:ind w:left="2520" w:hanging="420"/>
      </w:pPr>
      <w:rPr>
        <w:rFonts w:ascii="Wingdings" w:hAnsi="Wingdings"/>
      </w:rPr>
    </w:lvl>
    <w:lvl w:ilvl="5" w:tplc="471418AA">
      <w:start w:val="1"/>
      <w:numFmt w:val="bullet"/>
      <w:lvlText w:val=""/>
      <w:lvlJc w:val="left"/>
      <w:pPr>
        <w:tabs>
          <w:tab w:val="num" w:pos="2940"/>
        </w:tabs>
        <w:snapToGrid/>
        <w:ind w:left="2940" w:hanging="420"/>
      </w:pPr>
      <w:rPr>
        <w:rFonts w:ascii="Wingdings" w:hAnsi="Wingdings"/>
      </w:rPr>
    </w:lvl>
    <w:lvl w:ilvl="6" w:tplc="8CE6BE24">
      <w:start w:val="1"/>
      <w:numFmt w:val="bullet"/>
      <w:lvlText w:val=""/>
      <w:lvlJc w:val="left"/>
      <w:pPr>
        <w:tabs>
          <w:tab w:val="num" w:pos="3360"/>
        </w:tabs>
        <w:snapToGrid/>
        <w:ind w:left="3360" w:hanging="420"/>
      </w:pPr>
      <w:rPr>
        <w:rFonts w:ascii="Wingdings" w:hAnsi="Wingdings"/>
      </w:rPr>
    </w:lvl>
    <w:lvl w:ilvl="7" w:tplc="E368AD3E">
      <w:start w:val="1"/>
      <w:numFmt w:val="bullet"/>
      <w:lvlText w:val=""/>
      <w:lvlJc w:val="left"/>
      <w:pPr>
        <w:tabs>
          <w:tab w:val="num" w:pos="3780"/>
        </w:tabs>
        <w:snapToGrid/>
        <w:ind w:left="3780" w:hanging="420"/>
      </w:pPr>
      <w:rPr>
        <w:rFonts w:ascii="Wingdings" w:hAnsi="Wingdings"/>
      </w:rPr>
    </w:lvl>
    <w:lvl w:ilvl="8" w:tplc="ACB2C20A">
      <w:start w:val="1"/>
      <w:numFmt w:val="bullet"/>
      <w:lvlText w:val=""/>
      <w:lvlJc w:val="left"/>
      <w:pPr>
        <w:tabs>
          <w:tab w:val="num" w:pos="4200"/>
        </w:tabs>
        <w:snapToGrid/>
        <w:ind w:left="4200" w:hanging="420"/>
      </w:pPr>
      <w:rPr>
        <w:rFonts w:ascii="Wingdings" w:hAnsi="Wingdings"/>
      </w:rPr>
    </w:lvl>
  </w:abstractNum>
  <w:abstractNum w:abstractNumId="9">
    <w:nsid w:val="41940077"/>
    <w:multiLevelType w:val="hybridMultilevel"/>
    <w:tmpl w:val="F9806496"/>
    <w:lvl w:ilvl="0" w:tplc="63460FEC">
      <w:start w:val="1"/>
      <w:numFmt w:val="decimal"/>
      <w:lvlText w:val="(%1)"/>
      <w:lvlJc w:val="left"/>
      <w:pPr>
        <w:tabs>
          <w:tab w:val="num" w:pos="465"/>
        </w:tabs>
        <w:snapToGrid/>
        <w:ind w:left="465" w:hanging="360"/>
      </w:pPr>
    </w:lvl>
    <w:lvl w:ilvl="1" w:tplc="2CCABDD0">
      <w:start w:val="1"/>
      <w:numFmt w:val="lowerLetter"/>
      <w:lvlText w:val="%2)"/>
      <w:lvlJc w:val="left"/>
      <w:pPr>
        <w:tabs>
          <w:tab w:val="num" w:pos="945"/>
        </w:tabs>
        <w:snapToGrid/>
        <w:ind w:left="945" w:hanging="420"/>
      </w:pPr>
    </w:lvl>
    <w:lvl w:ilvl="2" w:tplc="75B87D52">
      <w:start w:val="1"/>
      <w:numFmt w:val="lowerRoman"/>
      <w:lvlText w:val="%3."/>
      <w:lvlJc w:val="right"/>
      <w:pPr>
        <w:tabs>
          <w:tab w:val="num" w:pos="1365"/>
        </w:tabs>
        <w:snapToGrid/>
        <w:ind w:left="1365" w:hanging="420"/>
      </w:pPr>
    </w:lvl>
    <w:lvl w:ilvl="3" w:tplc="40989336">
      <w:start w:val="1"/>
      <w:numFmt w:val="decimal"/>
      <w:lvlText w:val="%4."/>
      <w:lvlJc w:val="left"/>
      <w:pPr>
        <w:tabs>
          <w:tab w:val="num" w:pos="1785"/>
        </w:tabs>
        <w:snapToGrid/>
        <w:ind w:left="1785" w:hanging="420"/>
      </w:pPr>
    </w:lvl>
    <w:lvl w:ilvl="4" w:tplc="20ACE6C0">
      <w:start w:val="1"/>
      <w:numFmt w:val="lowerLetter"/>
      <w:lvlText w:val="%5)"/>
      <w:lvlJc w:val="left"/>
      <w:pPr>
        <w:tabs>
          <w:tab w:val="num" w:pos="2205"/>
        </w:tabs>
        <w:snapToGrid/>
        <w:ind w:left="2205" w:hanging="420"/>
      </w:pPr>
    </w:lvl>
    <w:lvl w:ilvl="5" w:tplc="07C2D606">
      <w:start w:val="1"/>
      <w:numFmt w:val="lowerRoman"/>
      <w:lvlText w:val="%6."/>
      <w:lvlJc w:val="right"/>
      <w:pPr>
        <w:tabs>
          <w:tab w:val="num" w:pos="2625"/>
        </w:tabs>
        <w:snapToGrid/>
        <w:ind w:left="2625" w:hanging="420"/>
      </w:pPr>
    </w:lvl>
    <w:lvl w:ilvl="6" w:tplc="5A3412C8">
      <w:start w:val="1"/>
      <w:numFmt w:val="decimal"/>
      <w:lvlText w:val="%7."/>
      <w:lvlJc w:val="left"/>
      <w:pPr>
        <w:tabs>
          <w:tab w:val="num" w:pos="3045"/>
        </w:tabs>
        <w:snapToGrid/>
        <w:ind w:left="3045" w:hanging="420"/>
      </w:pPr>
    </w:lvl>
    <w:lvl w:ilvl="7" w:tplc="D6587238">
      <w:start w:val="1"/>
      <w:numFmt w:val="lowerLetter"/>
      <w:lvlText w:val="%8)"/>
      <w:lvlJc w:val="left"/>
      <w:pPr>
        <w:tabs>
          <w:tab w:val="num" w:pos="3465"/>
        </w:tabs>
        <w:snapToGrid/>
        <w:ind w:left="3465" w:hanging="420"/>
      </w:pPr>
    </w:lvl>
    <w:lvl w:ilvl="8" w:tplc="353472B6">
      <w:start w:val="1"/>
      <w:numFmt w:val="lowerRoman"/>
      <w:lvlText w:val="%9."/>
      <w:lvlJc w:val="right"/>
      <w:pPr>
        <w:tabs>
          <w:tab w:val="num" w:pos="3885"/>
        </w:tabs>
        <w:snapToGrid/>
        <w:ind w:left="3885" w:hanging="420"/>
      </w:pPr>
    </w:lvl>
  </w:abstractNum>
  <w:abstractNum w:abstractNumId="10">
    <w:nsid w:val="4BE12C10"/>
    <w:multiLevelType w:val="hybridMultilevel"/>
    <w:tmpl w:val="34CCF81E"/>
    <w:lvl w:ilvl="0" w:tplc="1BFE40BE">
      <w:start w:val="1"/>
      <w:numFmt w:val="decimal"/>
      <w:lvlText w:val="%1）"/>
      <w:lvlJc w:val="left"/>
      <w:pPr>
        <w:tabs>
          <w:tab w:val="num" w:pos="840"/>
        </w:tabs>
        <w:snapToGrid/>
        <w:ind w:left="840" w:hanging="420"/>
      </w:pPr>
      <w:rPr>
        <w:rFonts w:ascii="Times New Roman" w:eastAsia="宋体" w:hAnsi="Times New Roman"/>
      </w:rPr>
    </w:lvl>
    <w:lvl w:ilvl="1" w:tplc="4D0AD51A">
      <w:start w:val="1"/>
      <w:numFmt w:val="bullet"/>
      <w:lvlText w:val=""/>
      <w:lvlJc w:val="left"/>
      <w:pPr>
        <w:tabs>
          <w:tab w:val="num" w:pos="1260"/>
        </w:tabs>
        <w:snapToGrid/>
        <w:ind w:left="1260" w:hanging="420"/>
      </w:pPr>
      <w:rPr>
        <w:rFonts w:ascii="Wingdings" w:hAnsi="Wingdings"/>
      </w:rPr>
    </w:lvl>
    <w:lvl w:ilvl="2" w:tplc="D774FC7C">
      <w:start w:val="1"/>
      <w:numFmt w:val="bullet"/>
      <w:lvlText w:val=""/>
      <w:lvlJc w:val="left"/>
      <w:pPr>
        <w:tabs>
          <w:tab w:val="num" w:pos="1680"/>
        </w:tabs>
        <w:snapToGrid/>
        <w:ind w:left="1680" w:hanging="420"/>
      </w:pPr>
      <w:rPr>
        <w:rFonts w:ascii="Wingdings" w:hAnsi="Wingdings"/>
      </w:rPr>
    </w:lvl>
    <w:lvl w:ilvl="3" w:tplc="D6644092">
      <w:start w:val="1"/>
      <w:numFmt w:val="bullet"/>
      <w:lvlText w:val=""/>
      <w:lvlJc w:val="left"/>
      <w:pPr>
        <w:tabs>
          <w:tab w:val="num" w:pos="2100"/>
        </w:tabs>
        <w:snapToGrid/>
        <w:ind w:left="2100" w:hanging="420"/>
      </w:pPr>
      <w:rPr>
        <w:rFonts w:ascii="Wingdings" w:hAnsi="Wingdings"/>
      </w:rPr>
    </w:lvl>
    <w:lvl w:ilvl="4" w:tplc="7F62516C">
      <w:start w:val="1"/>
      <w:numFmt w:val="bullet"/>
      <w:lvlText w:val=""/>
      <w:lvlJc w:val="left"/>
      <w:pPr>
        <w:tabs>
          <w:tab w:val="num" w:pos="2520"/>
        </w:tabs>
        <w:snapToGrid/>
        <w:ind w:left="2520" w:hanging="420"/>
      </w:pPr>
      <w:rPr>
        <w:rFonts w:ascii="Wingdings" w:hAnsi="Wingdings"/>
      </w:rPr>
    </w:lvl>
    <w:lvl w:ilvl="5" w:tplc="EF1C89FE">
      <w:start w:val="1"/>
      <w:numFmt w:val="bullet"/>
      <w:lvlText w:val=""/>
      <w:lvlJc w:val="left"/>
      <w:pPr>
        <w:tabs>
          <w:tab w:val="num" w:pos="2940"/>
        </w:tabs>
        <w:snapToGrid/>
        <w:ind w:left="2940" w:hanging="420"/>
      </w:pPr>
      <w:rPr>
        <w:rFonts w:ascii="Wingdings" w:hAnsi="Wingdings"/>
      </w:rPr>
    </w:lvl>
    <w:lvl w:ilvl="6" w:tplc="4502BEFA">
      <w:start w:val="1"/>
      <w:numFmt w:val="bullet"/>
      <w:lvlText w:val=""/>
      <w:lvlJc w:val="left"/>
      <w:pPr>
        <w:tabs>
          <w:tab w:val="num" w:pos="3360"/>
        </w:tabs>
        <w:snapToGrid/>
        <w:ind w:left="3360" w:hanging="420"/>
      </w:pPr>
      <w:rPr>
        <w:rFonts w:ascii="Wingdings" w:hAnsi="Wingdings"/>
      </w:rPr>
    </w:lvl>
    <w:lvl w:ilvl="7" w:tplc="240E8B22">
      <w:start w:val="1"/>
      <w:numFmt w:val="bullet"/>
      <w:lvlText w:val=""/>
      <w:lvlJc w:val="left"/>
      <w:pPr>
        <w:tabs>
          <w:tab w:val="num" w:pos="3780"/>
        </w:tabs>
        <w:snapToGrid/>
        <w:ind w:left="3780" w:hanging="420"/>
      </w:pPr>
      <w:rPr>
        <w:rFonts w:ascii="Wingdings" w:hAnsi="Wingdings"/>
      </w:rPr>
    </w:lvl>
    <w:lvl w:ilvl="8" w:tplc="0CD25ACE">
      <w:start w:val="1"/>
      <w:numFmt w:val="bullet"/>
      <w:lvlText w:val=""/>
      <w:lvlJc w:val="left"/>
      <w:pPr>
        <w:tabs>
          <w:tab w:val="num" w:pos="4200"/>
        </w:tabs>
        <w:snapToGrid/>
        <w:ind w:left="4200" w:hanging="420"/>
      </w:pPr>
      <w:rPr>
        <w:rFonts w:ascii="Wingdings" w:hAnsi="Wingdings"/>
      </w:rPr>
    </w:lvl>
  </w:abstractNum>
  <w:abstractNum w:abstractNumId="11">
    <w:nsid w:val="4F7165A9"/>
    <w:multiLevelType w:val="hybridMultilevel"/>
    <w:tmpl w:val="88D61E50"/>
    <w:lvl w:ilvl="0" w:tplc="4F68D0E0">
      <w:start w:val="5"/>
      <w:numFmt w:val="decimal"/>
      <w:lvlText w:val="%1）"/>
      <w:lvlJc w:val="left"/>
      <w:pPr>
        <w:tabs>
          <w:tab w:val="num" w:pos="780"/>
        </w:tabs>
        <w:snapToGrid/>
        <w:ind w:left="780" w:hanging="360"/>
      </w:pPr>
    </w:lvl>
    <w:lvl w:ilvl="1" w:tplc="A8A0A8BA">
      <w:start w:val="1"/>
      <w:numFmt w:val="lowerLetter"/>
      <w:lvlText w:val="%2)"/>
      <w:lvlJc w:val="left"/>
      <w:pPr>
        <w:tabs>
          <w:tab w:val="num" w:pos="1260"/>
        </w:tabs>
        <w:snapToGrid/>
        <w:ind w:left="1260" w:hanging="420"/>
      </w:pPr>
    </w:lvl>
    <w:lvl w:ilvl="2" w:tplc="5A90AF14">
      <w:start w:val="1"/>
      <w:numFmt w:val="lowerRoman"/>
      <w:lvlText w:val="%3."/>
      <w:lvlJc w:val="right"/>
      <w:pPr>
        <w:tabs>
          <w:tab w:val="num" w:pos="1680"/>
        </w:tabs>
        <w:snapToGrid/>
        <w:ind w:left="1680" w:hanging="420"/>
      </w:pPr>
    </w:lvl>
    <w:lvl w:ilvl="3" w:tplc="36E2DC2C">
      <w:start w:val="1"/>
      <w:numFmt w:val="decimal"/>
      <w:lvlText w:val="%4."/>
      <w:lvlJc w:val="left"/>
      <w:pPr>
        <w:tabs>
          <w:tab w:val="num" w:pos="2100"/>
        </w:tabs>
        <w:snapToGrid/>
        <w:ind w:left="2100" w:hanging="420"/>
      </w:pPr>
    </w:lvl>
    <w:lvl w:ilvl="4" w:tplc="FC5CF12C">
      <w:start w:val="1"/>
      <w:numFmt w:val="lowerLetter"/>
      <w:lvlText w:val="%5)"/>
      <w:lvlJc w:val="left"/>
      <w:pPr>
        <w:tabs>
          <w:tab w:val="num" w:pos="2520"/>
        </w:tabs>
        <w:snapToGrid/>
        <w:ind w:left="2520" w:hanging="420"/>
      </w:pPr>
    </w:lvl>
    <w:lvl w:ilvl="5" w:tplc="D4844B6E">
      <w:start w:val="1"/>
      <w:numFmt w:val="lowerRoman"/>
      <w:lvlText w:val="%6."/>
      <w:lvlJc w:val="right"/>
      <w:pPr>
        <w:tabs>
          <w:tab w:val="num" w:pos="2940"/>
        </w:tabs>
        <w:snapToGrid/>
        <w:ind w:left="2940" w:hanging="420"/>
      </w:pPr>
    </w:lvl>
    <w:lvl w:ilvl="6" w:tplc="0968388E">
      <w:start w:val="1"/>
      <w:numFmt w:val="decimal"/>
      <w:lvlText w:val="%7."/>
      <w:lvlJc w:val="left"/>
      <w:pPr>
        <w:tabs>
          <w:tab w:val="num" w:pos="3360"/>
        </w:tabs>
        <w:snapToGrid/>
        <w:ind w:left="3360" w:hanging="420"/>
      </w:pPr>
    </w:lvl>
    <w:lvl w:ilvl="7" w:tplc="2D72E0B0">
      <w:start w:val="1"/>
      <w:numFmt w:val="lowerLetter"/>
      <w:lvlText w:val="%8)"/>
      <w:lvlJc w:val="left"/>
      <w:pPr>
        <w:tabs>
          <w:tab w:val="num" w:pos="3780"/>
        </w:tabs>
        <w:snapToGrid/>
        <w:ind w:left="3780" w:hanging="420"/>
      </w:pPr>
    </w:lvl>
    <w:lvl w:ilvl="8" w:tplc="6B52A0C0">
      <w:start w:val="1"/>
      <w:numFmt w:val="lowerRoman"/>
      <w:lvlText w:val="%9."/>
      <w:lvlJc w:val="right"/>
      <w:pPr>
        <w:tabs>
          <w:tab w:val="num" w:pos="4200"/>
        </w:tabs>
        <w:snapToGrid/>
        <w:ind w:left="4200" w:hanging="420"/>
      </w:pPr>
    </w:lvl>
  </w:abstractNum>
  <w:abstractNum w:abstractNumId="12">
    <w:nsid w:val="50213F2D"/>
    <w:multiLevelType w:val="hybridMultilevel"/>
    <w:tmpl w:val="A412B956"/>
    <w:lvl w:ilvl="0" w:tplc="D178A748">
      <w:start w:val="1"/>
      <w:numFmt w:val="decimal"/>
      <w:lvlText w:val="%1."/>
      <w:lvlJc w:val="left"/>
      <w:pPr>
        <w:tabs>
          <w:tab w:val="num" w:pos="840"/>
        </w:tabs>
        <w:snapToGrid/>
        <w:ind w:left="840" w:hanging="420"/>
      </w:pPr>
    </w:lvl>
    <w:lvl w:ilvl="1" w:tplc="F2F8C0FC">
      <w:start w:val="1"/>
      <w:numFmt w:val="lowerLetter"/>
      <w:lvlText w:val="%2)"/>
      <w:lvlJc w:val="left"/>
      <w:pPr>
        <w:tabs>
          <w:tab w:val="num" w:pos="840"/>
        </w:tabs>
        <w:snapToGrid/>
        <w:ind w:left="840" w:hanging="420"/>
      </w:pPr>
    </w:lvl>
    <w:lvl w:ilvl="2" w:tplc="1BD0589E">
      <w:start w:val="1"/>
      <w:numFmt w:val="lowerRoman"/>
      <w:lvlText w:val="%3."/>
      <w:lvlJc w:val="right"/>
      <w:pPr>
        <w:tabs>
          <w:tab w:val="num" w:pos="1260"/>
        </w:tabs>
        <w:snapToGrid/>
        <w:ind w:left="1260" w:hanging="420"/>
      </w:pPr>
    </w:lvl>
    <w:lvl w:ilvl="3" w:tplc="0838A82C">
      <w:start w:val="1"/>
      <w:numFmt w:val="decimal"/>
      <w:lvlText w:val="%4."/>
      <w:lvlJc w:val="left"/>
      <w:pPr>
        <w:tabs>
          <w:tab w:val="num" w:pos="1680"/>
        </w:tabs>
        <w:snapToGrid/>
        <w:ind w:left="1680" w:hanging="420"/>
      </w:pPr>
    </w:lvl>
    <w:lvl w:ilvl="4" w:tplc="1C6E0A1A">
      <w:start w:val="1"/>
      <w:numFmt w:val="lowerLetter"/>
      <w:lvlText w:val="%5)"/>
      <w:lvlJc w:val="left"/>
      <w:pPr>
        <w:tabs>
          <w:tab w:val="num" w:pos="2100"/>
        </w:tabs>
        <w:snapToGrid/>
        <w:ind w:left="2100" w:hanging="420"/>
      </w:pPr>
    </w:lvl>
    <w:lvl w:ilvl="5" w:tplc="D1842C7E">
      <w:start w:val="1"/>
      <w:numFmt w:val="lowerRoman"/>
      <w:lvlText w:val="%6."/>
      <w:lvlJc w:val="right"/>
      <w:pPr>
        <w:tabs>
          <w:tab w:val="num" w:pos="2520"/>
        </w:tabs>
        <w:snapToGrid/>
        <w:ind w:left="2520" w:hanging="420"/>
      </w:pPr>
    </w:lvl>
    <w:lvl w:ilvl="6" w:tplc="4D288E7A">
      <w:start w:val="1"/>
      <w:numFmt w:val="decimal"/>
      <w:lvlText w:val="%7."/>
      <w:lvlJc w:val="left"/>
      <w:pPr>
        <w:tabs>
          <w:tab w:val="num" w:pos="2940"/>
        </w:tabs>
        <w:snapToGrid/>
        <w:ind w:left="2940" w:hanging="420"/>
      </w:pPr>
    </w:lvl>
    <w:lvl w:ilvl="7" w:tplc="82A0CF8C">
      <w:start w:val="1"/>
      <w:numFmt w:val="lowerLetter"/>
      <w:lvlText w:val="%8)"/>
      <w:lvlJc w:val="left"/>
      <w:pPr>
        <w:tabs>
          <w:tab w:val="num" w:pos="3360"/>
        </w:tabs>
        <w:snapToGrid/>
        <w:ind w:left="3360" w:hanging="420"/>
      </w:pPr>
    </w:lvl>
    <w:lvl w:ilvl="8" w:tplc="BF862074">
      <w:start w:val="1"/>
      <w:numFmt w:val="lowerRoman"/>
      <w:lvlText w:val="%9."/>
      <w:lvlJc w:val="right"/>
      <w:pPr>
        <w:tabs>
          <w:tab w:val="num" w:pos="3780"/>
        </w:tabs>
        <w:snapToGrid/>
        <w:ind w:left="3780" w:hanging="420"/>
      </w:pPr>
    </w:lvl>
  </w:abstractNum>
  <w:abstractNum w:abstractNumId="13">
    <w:nsid w:val="53A94773"/>
    <w:multiLevelType w:val="hybridMultilevel"/>
    <w:tmpl w:val="862E1778"/>
    <w:lvl w:ilvl="0" w:tplc="B288B9A0">
      <w:start w:val="2"/>
      <w:numFmt w:val="decimal"/>
      <w:lvlText w:val="%1）"/>
      <w:lvlJc w:val="left"/>
      <w:pPr>
        <w:tabs>
          <w:tab w:val="num" w:pos="780"/>
        </w:tabs>
        <w:snapToGrid/>
        <w:ind w:left="780" w:hanging="360"/>
      </w:pPr>
    </w:lvl>
    <w:lvl w:ilvl="1" w:tplc="BEA099DC">
      <w:start w:val="1"/>
      <w:numFmt w:val="lowerLetter"/>
      <w:lvlText w:val="%2)"/>
      <w:lvlJc w:val="left"/>
      <w:pPr>
        <w:tabs>
          <w:tab w:val="num" w:pos="1260"/>
        </w:tabs>
        <w:snapToGrid/>
        <w:ind w:left="1260" w:hanging="420"/>
      </w:pPr>
    </w:lvl>
    <w:lvl w:ilvl="2" w:tplc="00F28B66">
      <w:start w:val="1"/>
      <w:numFmt w:val="lowerRoman"/>
      <w:lvlText w:val="%3."/>
      <w:lvlJc w:val="right"/>
      <w:pPr>
        <w:tabs>
          <w:tab w:val="num" w:pos="1680"/>
        </w:tabs>
        <w:snapToGrid/>
        <w:ind w:left="1680" w:hanging="420"/>
      </w:pPr>
    </w:lvl>
    <w:lvl w:ilvl="3" w:tplc="3662A11C">
      <w:start w:val="1"/>
      <w:numFmt w:val="decimal"/>
      <w:lvlText w:val="%4."/>
      <w:lvlJc w:val="left"/>
      <w:pPr>
        <w:tabs>
          <w:tab w:val="num" w:pos="2100"/>
        </w:tabs>
        <w:snapToGrid/>
        <w:ind w:left="2100" w:hanging="420"/>
      </w:pPr>
    </w:lvl>
    <w:lvl w:ilvl="4" w:tplc="58F28DF6">
      <w:start w:val="1"/>
      <w:numFmt w:val="lowerLetter"/>
      <w:lvlText w:val="%5)"/>
      <w:lvlJc w:val="left"/>
      <w:pPr>
        <w:tabs>
          <w:tab w:val="num" w:pos="2520"/>
        </w:tabs>
        <w:snapToGrid/>
        <w:ind w:left="2520" w:hanging="420"/>
      </w:pPr>
    </w:lvl>
    <w:lvl w:ilvl="5" w:tplc="C144C506">
      <w:start w:val="1"/>
      <w:numFmt w:val="lowerRoman"/>
      <w:lvlText w:val="%6."/>
      <w:lvlJc w:val="right"/>
      <w:pPr>
        <w:tabs>
          <w:tab w:val="num" w:pos="2940"/>
        </w:tabs>
        <w:snapToGrid/>
        <w:ind w:left="2940" w:hanging="420"/>
      </w:pPr>
    </w:lvl>
    <w:lvl w:ilvl="6" w:tplc="F19C6DF2">
      <w:start w:val="1"/>
      <w:numFmt w:val="decimal"/>
      <w:lvlText w:val="%7."/>
      <w:lvlJc w:val="left"/>
      <w:pPr>
        <w:tabs>
          <w:tab w:val="num" w:pos="3360"/>
        </w:tabs>
        <w:snapToGrid/>
        <w:ind w:left="3360" w:hanging="420"/>
      </w:pPr>
    </w:lvl>
    <w:lvl w:ilvl="7" w:tplc="3A78608C">
      <w:start w:val="1"/>
      <w:numFmt w:val="lowerLetter"/>
      <w:lvlText w:val="%8)"/>
      <w:lvlJc w:val="left"/>
      <w:pPr>
        <w:tabs>
          <w:tab w:val="num" w:pos="3780"/>
        </w:tabs>
        <w:snapToGrid/>
        <w:ind w:left="3780" w:hanging="420"/>
      </w:pPr>
    </w:lvl>
    <w:lvl w:ilvl="8" w:tplc="32847EEA">
      <w:start w:val="1"/>
      <w:numFmt w:val="lowerRoman"/>
      <w:lvlText w:val="%9."/>
      <w:lvlJc w:val="right"/>
      <w:pPr>
        <w:tabs>
          <w:tab w:val="num" w:pos="4200"/>
        </w:tabs>
        <w:snapToGrid/>
        <w:ind w:left="4200" w:hanging="420"/>
      </w:pPr>
    </w:lvl>
  </w:abstractNum>
  <w:abstractNum w:abstractNumId="14">
    <w:nsid w:val="560F3D9A"/>
    <w:multiLevelType w:val="hybridMultilevel"/>
    <w:tmpl w:val="F2E4CF98"/>
    <w:lvl w:ilvl="0" w:tplc="8AE29BC6">
      <w:start w:val="1"/>
      <w:numFmt w:val="decimal"/>
      <w:lvlText w:val="%1."/>
      <w:lvlJc w:val="left"/>
      <w:pPr>
        <w:snapToGrid/>
        <w:ind w:left="840" w:hanging="420"/>
      </w:pPr>
      <w:rPr>
        <w:spacing w:val="0"/>
        <w:w w:val="100"/>
        <w:position w:val="0"/>
      </w:rPr>
    </w:lvl>
    <w:lvl w:ilvl="1" w:tplc="AB067AD6">
      <w:start w:val="1"/>
      <w:numFmt w:val="lowerLetter"/>
      <w:lvlText w:val="%2)"/>
      <w:lvlJc w:val="left"/>
      <w:pPr>
        <w:snapToGrid/>
        <w:ind w:left="1260" w:hanging="420"/>
      </w:pPr>
    </w:lvl>
    <w:lvl w:ilvl="2" w:tplc="C172BED2">
      <w:start w:val="1"/>
      <w:numFmt w:val="lowerRoman"/>
      <w:lvlText w:val="%3."/>
      <w:lvlJc w:val="right"/>
      <w:pPr>
        <w:snapToGrid/>
        <w:ind w:left="1680" w:hanging="420"/>
      </w:pPr>
    </w:lvl>
    <w:lvl w:ilvl="3" w:tplc="08DC50E4">
      <w:start w:val="1"/>
      <w:numFmt w:val="decimal"/>
      <w:lvlText w:val="%4."/>
      <w:lvlJc w:val="left"/>
      <w:pPr>
        <w:snapToGrid/>
        <w:ind w:left="2100" w:hanging="420"/>
      </w:pPr>
    </w:lvl>
    <w:lvl w:ilvl="4" w:tplc="C39001A2">
      <w:start w:val="1"/>
      <w:numFmt w:val="lowerLetter"/>
      <w:lvlText w:val="%5)"/>
      <w:lvlJc w:val="left"/>
      <w:pPr>
        <w:snapToGrid/>
        <w:ind w:left="2520" w:hanging="420"/>
      </w:pPr>
    </w:lvl>
    <w:lvl w:ilvl="5" w:tplc="07AA7C28">
      <w:start w:val="1"/>
      <w:numFmt w:val="lowerRoman"/>
      <w:lvlText w:val="%6."/>
      <w:lvlJc w:val="right"/>
      <w:pPr>
        <w:snapToGrid/>
        <w:ind w:left="2940" w:hanging="420"/>
      </w:pPr>
    </w:lvl>
    <w:lvl w:ilvl="6" w:tplc="94A888D8">
      <w:start w:val="1"/>
      <w:numFmt w:val="decimal"/>
      <w:lvlText w:val="%7."/>
      <w:lvlJc w:val="left"/>
      <w:pPr>
        <w:snapToGrid/>
        <w:ind w:left="3360" w:hanging="420"/>
      </w:pPr>
    </w:lvl>
    <w:lvl w:ilvl="7" w:tplc="46D6CC60">
      <w:start w:val="1"/>
      <w:numFmt w:val="lowerLetter"/>
      <w:lvlText w:val="%8)"/>
      <w:lvlJc w:val="left"/>
      <w:pPr>
        <w:snapToGrid/>
        <w:ind w:left="3780" w:hanging="420"/>
      </w:pPr>
    </w:lvl>
    <w:lvl w:ilvl="8" w:tplc="1848F084">
      <w:start w:val="1"/>
      <w:numFmt w:val="lowerRoman"/>
      <w:lvlText w:val="%9."/>
      <w:lvlJc w:val="right"/>
      <w:pPr>
        <w:snapToGrid/>
        <w:ind w:left="4200" w:hanging="420"/>
      </w:pPr>
    </w:lvl>
  </w:abstractNum>
  <w:abstractNum w:abstractNumId="15">
    <w:nsid w:val="57BF10A9"/>
    <w:multiLevelType w:val="hybridMultilevel"/>
    <w:tmpl w:val="3D22CAEE"/>
    <w:lvl w:ilvl="0" w:tplc="84F0633E">
      <w:start w:val="1"/>
      <w:numFmt w:val="decimal"/>
      <w:lvlText w:val="（%1）"/>
      <w:lvlJc w:val="left"/>
      <w:pPr>
        <w:tabs>
          <w:tab w:val="num" w:pos="840"/>
        </w:tabs>
        <w:snapToGrid/>
        <w:ind w:left="840" w:hanging="420"/>
      </w:pPr>
      <w:rPr>
        <w:rFonts w:ascii="宋体" w:eastAsia="宋体" w:hAnsi="宋体"/>
      </w:rPr>
    </w:lvl>
    <w:lvl w:ilvl="1" w:tplc="AD2ABE8A">
      <w:start w:val="1"/>
      <w:numFmt w:val="bullet"/>
      <w:lvlText w:val=""/>
      <w:lvlJc w:val="left"/>
      <w:pPr>
        <w:tabs>
          <w:tab w:val="num" w:pos="1260"/>
        </w:tabs>
        <w:snapToGrid/>
        <w:ind w:left="1260" w:hanging="420"/>
      </w:pPr>
      <w:rPr>
        <w:rFonts w:ascii="Wingdings" w:hAnsi="Wingdings"/>
      </w:rPr>
    </w:lvl>
    <w:lvl w:ilvl="2" w:tplc="5C688CC4">
      <w:start w:val="1"/>
      <w:numFmt w:val="bullet"/>
      <w:lvlText w:val=""/>
      <w:lvlJc w:val="left"/>
      <w:pPr>
        <w:tabs>
          <w:tab w:val="num" w:pos="1680"/>
        </w:tabs>
        <w:snapToGrid/>
        <w:ind w:left="1680" w:hanging="420"/>
      </w:pPr>
      <w:rPr>
        <w:rFonts w:ascii="Wingdings" w:hAnsi="Wingdings"/>
      </w:rPr>
    </w:lvl>
    <w:lvl w:ilvl="3" w:tplc="C834F350">
      <w:start w:val="1"/>
      <w:numFmt w:val="bullet"/>
      <w:lvlText w:val=""/>
      <w:lvlJc w:val="left"/>
      <w:pPr>
        <w:tabs>
          <w:tab w:val="num" w:pos="2100"/>
        </w:tabs>
        <w:snapToGrid/>
        <w:ind w:left="2100" w:hanging="420"/>
      </w:pPr>
      <w:rPr>
        <w:rFonts w:ascii="Wingdings" w:hAnsi="Wingdings"/>
      </w:rPr>
    </w:lvl>
    <w:lvl w:ilvl="4" w:tplc="F29AA7E4">
      <w:start w:val="1"/>
      <w:numFmt w:val="bullet"/>
      <w:lvlText w:val=""/>
      <w:lvlJc w:val="left"/>
      <w:pPr>
        <w:tabs>
          <w:tab w:val="num" w:pos="2520"/>
        </w:tabs>
        <w:snapToGrid/>
        <w:ind w:left="2520" w:hanging="420"/>
      </w:pPr>
      <w:rPr>
        <w:rFonts w:ascii="Wingdings" w:hAnsi="Wingdings"/>
      </w:rPr>
    </w:lvl>
    <w:lvl w:ilvl="5" w:tplc="40C2CB06">
      <w:start w:val="1"/>
      <w:numFmt w:val="bullet"/>
      <w:lvlText w:val=""/>
      <w:lvlJc w:val="left"/>
      <w:pPr>
        <w:tabs>
          <w:tab w:val="num" w:pos="2940"/>
        </w:tabs>
        <w:snapToGrid/>
        <w:ind w:left="2940" w:hanging="420"/>
      </w:pPr>
      <w:rPr>
        <w:rFonts w:ascii="Wingdings" w:hAnsi="Wingdings"/>
      </w:rPr>
    </w:lvl>
    <w:lvl w:ilvl="6" w:tplc="2338A068">
      <w:start w:val="1"/>
      <w:numFmt w:val="bullet"/>
      <w:lvlText w:val=""/>
      <w:lvlJc w:val="left"/>
      <w:pPr>
        <w:tabs>
          <w:tab w:val="num" w:pos="3360"/>
        </w:tabs>
        <w:snapToGrid/>
        <w:ind w:left="3360" w:hanging="420"/>
      </w:pPr>
      <w:rPr>
        <w:rFonts w:ascii="Wingdings" w:hAnsi="Wingdings"/>
      </w:rPr>
    </w:lvl>
    <w:lvl w:ilvl="7" w:tplc="684A3F88">
      <w:start w:val="1"/>
      <w:numFmt w:val="bullet"/>
      <w:lvlText w:val=""/>
      <w:lvlJc w:val="left"/>
      <w:pPr>
        <w:tabs>
          <w:tab w:val="num" w:pos="3780"/>
        </w:tabs>
        <w:snapToGrid/>
        <w:ind w:left="3780" w:hanging="420"/>
      </w:pPr>
      <w:rPr>
        <w:rFonts w:ascii="Wingdings" w:hAnsi="Wingdings"/>
      </w:rPr>
    </w:lvl>
    <w:lvl w:ilvl="8" w:tplc="99ACF2B8">
      <w:start w:val="1"/>
      <w:numFmt w:val="bullet"/>
      <w:lvlText w:val=""/>
      <w:lvlJc w:val="left"/>
      <w:pPr>
        <w:tabs>
          <w:tab w:val="num" w:pos="4200"/>
        </w:tabs>
        <w:snapToGrid/>
        <w:ind w:left="4200" w:hanging="420"/>
      </w:pPr>
      <w:rPr>
        <w:rFonts w:ascii="Wingdings" w:hAnsi="Wingdings"/>
      </w:rPr>
    </w:lvl>
  </w:abstractNum>
  <w:abstractNum w:abstractNumId="16">
    <w:nsid w:val="57D53FFC"/>
    <w:multiLevelType w:val="hybridMultilevel"/>
    <w:tmpl w:val="E5D6BE88"/>
    <w:lvl w:ilvl="0" w:tplc="10D622A0">
      <w:start w:val="1"/>
      <w:numFmt w:val="decimal"/>
      <w:lvlText w:val="%1）"/>
      <w:lvlJc w:val="left"/>
      <w:pPr>
        <w:tabs>
          <w:tab w:val="num" w:pos="840"/>
        </w:tabs>
        <w:snapToGrid/>
        <w:ind w:left="840" w:hanging="420"/>
      </w:pPr>
      <w:rPr>
        <w:rFonts w:ascii="Times New Roman" w:eastAsia="宋体" w:hAnsi="Times New Roman"/>
      </w:rPr>
    </w:lvl>
    <w:lvl w:ilvl="1" w:tplc="C20611B8">
      <w:start w:val="1"/>
      <w:numFmt w:val="lowerLetter"/>
      <w:lvlText w:val="%2)"/>
      <w:lvlJc w:val="left"/>
      <w:pPr>
        <w:tabs>
          <w:tab w:val="num" w:pos="840"/>
        </w:tabs>
        <w:snapToGrid/>
        <w:ind w:left="840" w:hanging="420"/>
      </w:pPr>
    </w:lvl>
    <w:lvl w:ilvl="2" w:tplc="44C49526">
      <w:start w:val="1"/>
      <w:numFmt w:val="lowerRoman"/>
      <w:lvlText w:val="%3."/>
      <w:lvlJc w:val="right"/>
      <w:pPr>
        <w:tabs>
          <w:tab w:val="num" w:pos="1260"/>
        </w:tabs>
        <w:snapToGrid/>
        <w:ind w:left="1260" w:hanging="420"/>
      </w:pPr>
    </w:lvl>
    <w:lvl w:ilvl="3" w:tplc="6FB27FA4">
      <w:start w:val="1"/>
      <w:numFmt w:val="decimal"/>
      <w:lvlText w:val="%4."/>
      <w:lvlJc w:val="left"/>
      <w:pPr>
        <w:tabs>
          <w:tab w:val="num" w:pos="1680"/>
        </w:tabs>
        <w:snapToGrid/>
        <w:ind w:left="1680" w:hanging="420"/>
      </w:pPr>
    </w:lvl>
    <w:lvl w:ilvl="4" w:tplc="289082AA">
      <w:start w:val="1"/>
      <w:numFmt w:val="lowerLetter"/>
      <w:lvlText w:val="%5)"/>
      <w:lvlJc w:val="left"/>
      <w:pPr>
        <w:tabs>
          <w:tab w:val="num" w:pos="2100"/>
        </w:tabs>
        <w:snapToGrid/>
        <w:ind w:left="2100" w:hanging="420"/>
      </w:pPr>
    </w:lvl>
    <w:lvl w:ilvl="5" w:tplc="4B8A6018">
      <w:start w:val="1"/>
      <w:numFmt w:val="lowerRoman"/>
      <w:lvlText w:val="%6."/>
      <w:lvlJc w:val="right"/>
      <w:pPr>
        <w:tabs>
          <w:tab w:val="num" w:pos="2520"/>
        </w:tabs>
        <w:snapToGrid/>
        <w:ind w:left="2520" w:hanging="420"/>
      </w:pPr>
    </w:lvl>
    <w:lvl w:ilvl="6" w:tplc="1840B458">
      <w:start w:val="1"/>
      <w:numFmt w:val="decimal"/>
      <w:lvlText w:val="%7."/>
      <w:lvlJc w:val="left"/>
      <w:pPr>
        <w:tabs>
          <w:tab w:val="num" w:pos="2940"/>
        </w:tabs>
        <w:snapToGrid/>
        <w:ind w:left="2940" w:hanging="420"/>
      </w:pPr>
    </w:lvl>
    <w:lvl w:ilvl="7" w:tplc="29E20A22">
      <w:start w:val="1"/>
      <w:numFmt w:val="lowerLetter"/>
      <w:lvlText w:val="%8)"/>
      <w:lvlJc w:val="left"/>
      <w:pPr>
        <w:tabs>
          <w:tab w:val="num" w:pos="3360"/>
        </w:tabs>
        <w:snapToGrid/>
        <w:ind w:left="3360" w:hanging="420"/>
      </w:pPr>
    </w:lvl>
    <w:lvl w:ilvl="8" w:tplc="0D42DB5C">
      <w:start w:val="1"/>
      <w:numFmt w:val="lowerRoman"/>
      <w:lvlText w:val="%9."/>
      <w:lvlJc w:val="right"/>
      <w:pPr>
        <w:tabs>
          <w:tab w:val="num" w:pos="3780"/>
        </w:tabs>
        <w:snapToGrid/>
        <w:ind w:left="3780" w:hanging="420"/>
      </w:pPr>
    </w:lvl>
  </w:abstractNum>
  <w:abstractNum w:abstractNumId="17">
    <w:nsid w:val="6BD755C3"/>
    <w:multiLevelType w:val="hybridMultilevel"/>
    <w:tmpl w:val="A768C5DC"/>
    <w:lvl w:ilvl="0" w:tplc="06C4D956">
      <w:start w:val="1"/>
      <w:numFmt w:val="decimal"/>
      <w:lvlText w:val="%1）"/>
      <w:lvlJc w:val="left"/>
      <w:pPr>
        <w:tabs>
          <w:tab w:val="num" w:pos="1260"/>
        </w:tabs>
        <w:snapToGrid/>
        <w:ind w:left="1260" w:hanging="420"/>
      </w:pPr>
      <w:rPr>
        <w:rFonts w:ascii="Times New Roman" w:eastAsia="宋体" w:hAnsi="Times New Roman"/>
      </w:rPr>
    </w:lvl>
    <w:lvl w:ilvl="1" w:tplc="7898FAA8">
      <w:start w:val="1"/>
      <w:numFmt w:val="lowerLetter"/>
      <w:lvlText w:val="%2)"/>
      <w:lvlJc w:val="left"/>
      <w:pPr>
        <w:tabs>
          <w:tab w:val="num" w:pos="840"/>
        </w:tabs>
        <w:snapToGrid/>
        <w:ind w:left="840" w:hanging="420"/>
      </w:pPr>
    </w:lvl>
    <w:lvl w:ilvl="2" w:tplc="9E42D570">
      <w:start w:val="1"/>
      <w:numFmt w:val="lowerRoman"/>
      <w:lvlText w:val="%3."/>
      <w:lvlJc w:val="right"/>
      <w:pPr>
        <w:tabs>
          <w:tab w:val="num" w:pos="1260"/>
        </w:tabs>
        <w:snapToGrid/>
        <w:ind w:left="1260" w:hanging="420"/>
      </w:pPr>
    </w:lvl>
    <w:lvl w:ilvl="3" w:tplc="B23AE074">
      <w:start w:val="1"/>
      <w:numFmt w:val="decimal"/>
      <w:lvlText w:val="%4."/>
      <w:lvlJc w:val="left"/>
      <w:pPr>
        <w:tabs>
          <w:tab w:val="num" w:pos="1680"/>
        </w:tabs>
        <w:snapToGrid/>
        <w:ind w:left="1680" w:hanging="420"/>
      </w:pPr>
    </w:lvl>
    <w:lvl w:ilvl="4" w:tplc="5844C2B4">
      <w:start w:val="1"/>
      <w:numFmt w:val="lowerLetter"/>
      <w:lvlText w:val="%5)"/>
      <w:lvlJc w:val="left"/>
      <w:pPr>
        <w:tabs>
          <w:tab w:val="num" w:pos="2100"/>
        </w:tabs>
        <w:snapToGrid/>
        <w:ind w:left="2100" w:hanging="420"/>
      </w:pPr>
    </w:lvl>
    <w:lvl w:ilvl="5" w:tplc="F8AA3D36">
      <w:start w:val="1"/>
      <w:numFmt w:val="lowerRoman"/>
      <w:lvlText w:val="%6."/>
      <w:lvlJc w:val="right"/>
      <w:pPr>
        <w:tabs>
          <w:tab w:val="num" w:pos="2520"/>
        </w:tabs>
        <w:snapToGrid/>
        <w:ind w:left="2520" w:hanging="420"/>
      </w:pPr>
    </w:lvl>
    <w:lvl w:ilvl="6" w:tplc="927080C2">
      <w:start w:val="1"/>
      <w:numFmt w:val="decimal"/>
      <w:lvlText w:val="%7."/>
      <w:lvlJc w:val="left"/>
      <w:pPr>
        <w:tabs>
          <w:tab w:val="num" w:pos="2940"/>
        </w:tabs>
        <w:snapToGrid/>
        <w:ind w:left="2940" w:hanging="420"/>
      </w:pPr>
    </w:lvl>
    <w:lvl w:ilvl="7" w:tplc="2ED05556">
      <w:start w:val="1"/>
      <w:numFmt w:val="lowerLetter"/>
      <w:lvlText w:val="%8)"/>
      <w:lvlJc w:val="left"/>
      <w:pPr>
        <w:tabs>
          <w:tab w:val="num" w:pos="3360"/>
        </w:tabs>
        <w:snapToGrid/>
        <w:ind w:left="3360" w:hanging="420"/>
      </w:pPr>
    </w:lvl>
    <w:lvl w:ilvl="8" w:tplc="3B9C4046">
      <w:start w:val="1"/>
      <w:numFmt w:val="lowerRoman"/>
      <w:lvlText w:val="%9."/>
      <w:lvlJc w:val="right"/>
      <w:pPr>
        <w:tabs>
          <w:tab w:val="num" w:pos="3780"/>
        </w:tabs>
        <w:snapToGrid/>
        <w:ind w:left="3780" w:hanging="420"/>
      </w:pPr>
    </w:lvl>
  </w:abstractNum>
  <w:abstractNum w:abstractNumId="18">
    <w:nsid w:val="74970BC4"/>
    <w:multiLevelType w:val="hybridMultilevel"/>
    <w:tmpl w:val="14484E12"/>
    <w:lvl w:ilvl="0" w:tplc="97F61EAE">
      <w:start w:val="1"/>
      <w:numFmt w:val="decimal"/>
      <w:lvlText w:val="%1）"/>
      <w:lvlJc w:val="left"/>
      <w:pPr>
        <w:tabs>
          <w:tab w:val="num" w:pos="1260"/>
        </w:tabs>
        <w:snapToGrid/>
        <w:ind w:left="1260" w:hanging="420"/>
      </w:pPr>
      <w:rPr>
        <w:rFonts w:ascii="Times New Roman" w:eastAsia="宋体" w:hAnsi="Times New Roman"/>
      </w:rPr>
    </w:lvl>
    <w:lvl w:ilvl="1" w:tplc="407C437E">
      <w:start w:val="1"/>
      <w:numFmt w:val="bullet"/>
      <w:lvlText w:val=""/>
      <w:lvlJc w:val="left"/>
      <w:pPr>
        <w:tabs>
          <w:tab w:val="num" w:pos="1680"/>
        </w:tabs>
        <w:snapToGrid/>
        <w:ind w:left="1680" w:hanging="420"/>
      </w:pPr>
      <w:rPr>
        <w:rFonts w:ascii="Wingdings" w:hAnsi="Wingdings"/>
      </w:rPr>
    </w:lvl>
    <w:lvl w:ilvl="2" w:tplc="8A4E7AF0">
      <w:start w:val="1"/>
      <w:numFmt w:val="bullet"/>
      <w:lvlText w:val=""/>
      <w:lvlJc w:val="left"/>
      <w:pPr>
        <w:tabs>
          <w:tab w:val="num" w:pos="2100"/>
        </w:tabs>
        <w:snapToGrid/>
        <w:ind w:left="2100" w:hanging="420"/>
      </w:pPr>
      <w:rPr>
        <w:rFonts w:ascii="Wingdings" w:hAnsi="Wingdings"/>
      </w:rPr>
    </w:lvl>
    <w:lvl w:ilvl="3" w:tplc="AAD2E8EA">
      <w:start w:val="1"/>
      <w:numFmt w:val="bullet"/>
      <w:lvlText w:val=""/>
      <w:lvlJc w:val="left"/>
      <w:pPr>
        <w:tabs>
          <w:tab w:val="num" w:pos="2520"/>
        </w:tabs>
        <w:snapToGrid/>
        <w:ind w:left="2520" w:hanging="420"/>
      </w:pPr>
      <w:rPr>
        <w:rFonts w:ascii="Wingdings" w:hAnsi="Wingdings"/>
      </w:rPr>
    </w:lvl>
    <w:lvl w:ilvl="4" w:tplc="214EF818">
      <w:start w:val="1"/>
      <w:numFmt w:val="bullet"/>
      <w:lvlText w:val=""/>
      <w:lvlJc w:val="left"/>
      <w:pPr>
        <w:tabs>
          <w:tab w:val="num" w:pos="2940"/>
        </w:tabs>
        <w:snapToGrid/>
        <w:ind w:left="2940" w:hanging="420"/>
      </w:pPr>
      <w:rPr>
        <w:rFonts w:ascii="Wingdings" w:hAnsi="Wingdings"/>
      </w:rPr>
    </w:lvl>
    <w:lvl w:ilvl="5" w:tplc="616A94C6">
      <w:start w:val="1"/>
      <w:numFmt w:val="bullet"/>
      <w:lvlText w:val=""/>
      <w:lvlJc w:val="left"/>
      <w:pPr>
        <w:tabs>
          <w:tab w:val="num" w:pos="3360"/>
        </w:tabs>
        <w:snapToGrid/>
        <w:ind w:left="3360" w:hanging="420"/>
      </w:pPr>
      <w:rPr>
        <w:rFonts w:ascii="Wingdings" w:hAnsi="Wingdings"/>
      </w:rPr>
    </w:lvl>
    <w:lvl w:ilvl="6" w:tplc="F2AAF732">
      <w:start w:val="1"/>
      <w:numFmt w:val="bullet"/>
      <w:lvlText w:val=""/>
      <w:lvlJc w:val="left"/>
      <w:pPr>
        <w:tabs>
          <w:tab w:val="num" w:pos="3780"/>
        </w:tabs>
        <w:snapToGrid/>
        <w:ind w:left="3780" w:hanging="420"/>
      </w:pPr>
      <w:rPr>
        <w:rFonts w:ascii="Wingdings" w:hAnsi="Wingdings"/>
      </w:rPr>
    </w:lvl>
    <w:lvl w:ilvl="7" w:tplc="FD30D34A">
      <w:start w:val="1"/>
      <w:numFmt w:val="bullet"/>
      <w:lvlText w:val=""/>
      <w:lvlJc w:val="left"/>
      <w:pPr>
        <w:tabs>
          <w:tab w:val="num" w:pos="4200"/>
        </w:tabs>
        <w:snapToGrid/>
        <w:ind w:left="4200" w:hanging="420"/>
      </w:pPr>
      <w:rPr>
        <w:rFonts w:ascii="Wingdings" w:hAnsi="Wingdings"/>
      </w:rPr>
    </w:lvl>
    <w:lvl w:ilvl="8" w:tplc="665C3662">
      <w:start w:val="1"/>
      <w:numFmt w:val="bullet"/>
      <w:lvlText w:val=""/>
      <w:lvlJc w:val="left"/>
      <w:pPr>
        <w:tabs>
          <w:tab w:val="num" w:pos="4620"/>
        </w:tabs>
        <w:snapToGrid/>
        <w:ind w:left="4620" w:hanging="420"/>
      </w:pPr>
      <w:rPr>
        <w:rFonts w:ascii="Wingdings" w:hAnsi="Wingdings"/>
      </w:rPr>
    </w:lvl>
  </w:abstractNum>
  <w:abstractNum w:abstractNumId="19">
    <w:nsid w:val="7A1A7E0D"/>
    <w:multiLevelType w:val="hybridMultilevel"/>
    <w:tmpl w:val="1FE29536"/>
    <w:lvl w:ilvl="0" w:tplc="B88A2D92">
      <w:start w:val="2"/>
      <w:numFmt w:val="decimal"/>
      <w:lvlText w:val="%1）"/>
      <w:lvlJc w:val="left"/>
      <w:pPr>
        <w:tabs>
          <w:tab w:val="num" w:pos="780"/>
        </w:tabs>
        <w:snapToGrid/>
        <w:ind w:left="780" w:hanging="360"/>
      </w:pPr>
    </w:lvl>
    <w:lvl w:ilvl="1" w:tplc="97262098">
      <w:start w:val="1"/>
      <w:numFmt w:val="lowerLetter"/>
      <w:lvlText w:val="%2)"/>
      <w:lvlJc w:val="left"/>
      <w:pPr>
        <w:tabs>
          <w:tab w:val="num" w:pos="1260"/>
        </w:tabs>
        <w:snapToGrid/>
        <w:ind w:left="1260" w:hanging="420"/>
      </w:pPr>
    </w:lvl>
    <w:lvl w:ilvl="2" w:tplc="D5C0CCAA">
      <w:start w:val="1"/>
      <w:numFmt w:val="lowerRoman"/>
      <w:lvlText w:val="%3."/>
      <w:lvlJc w:val="right"/>
      <w:pPr>
        <w:tabs>
          <w:tab w:val="num" w:pos="1680"/>
        </w:tabs>
        <w:snapToGrid/>
        <w:ind w:left="1680" w:hanging="420"/>
      </w:pPr>
    </w:lvl>
    <w:lvl w:ilvl="3" w:tplc="20E41484">
      <w:start w:val="1"/>
      <w:numFmt w:val="decimal"/>
      <w:lvlText w:val="%4."/>
      <w:lvlJc w:val="left"/>
      <w:pPr>
        <w:tabs>
          <w:tab w:val="num" w:pos="2100"/>
        </w:tabs>
        <w:snapToGrid/>
        <w:ind w:left="2100" w:hanging="420"/>
      </w:pPr>
    </w:lvl>
    <w:lvl w:ilvl="4" w:tplc="8A1A8DDA">
      <w:start w:val="1"/>
      <w:numFmt w:val="lowerLetter"/>
      <w:lvlText w:val="%5)"/>
      <w:lvlJc w:val="left"/>
      <w:pPr>
        <w:tabs>
          <w:tab w:val="num" w:pos="2520"/>
        </w:tabs>
        <w:snapToGrid/>
        <w:ind w:left="2520" w:hanging="420"/>
      </w:pPr>
    </w:lvl>
    <w:lvl w:ilvl="5" w:tplc="6174F27C">
      <w:start w:val="1"/>
      <w:numFmt w:val="lowerRoman"/>
      <w:lvlText w:val="%6."/>
      <w:lvlJc w:val="right"/>
      <w:pPr>
        <w:tabs>
          <w:tab w:val="num" w:pos="2940"/>
        </w:tabs>
        <w:snapToGrid/>
        <w:ind w:left="2940" w:hanging="420"/>
      </w:pPr>
    </w:lvl>
    <w:lvl w:ilvl="6" w:tplc="2F1835C2">
      <w:start w:val="1"/>
      <w:numFmt w:val="decimal"/>
      <w:lvlText w:val="%7."/>
      <w:lvlJc w:val="left"/>
      <w:pPr>
        <w:tabs>
          <w:tab w:val="num" w:pos="3360"/>
        </w:tabs>
        <w:snapToGrid/>
        <w:ind w:left="3360" w:hanging="420"/>
      </w:pPr>
    </w:lvl>
    <w:lvl w:ilvl="7" w:tplc="A956CF40">
      <w:start w:val="1"/>
      <w:numFmt w:val="lowerLetter"/>
      <w:lvlText w:val="%8)"/>
      <w:lvlJc w:val="left"/>
      <w:pPr>
        <w:tabs>
          <w:tab w:val="num" w:pos="3780"/>
        </w:tabs>
        <w:snapToGrid/>
        <w:ind w:left="3780" w:hanging="420"/>
      </w:pPr>
    </w:lvl>
    <w:lvl w:ilvl="8" w:tplc="732E118C">
      <w:start w:val="1"/>
      <w:numFmt w:val="lowerRoman"/>
      <w:lvlText w:val="%9."/>
      <w:lvlJc w:val="right"/>
      <w:pPr>
        <w:tabs>
          <w:tab w:val="num" w:pos="4200"/>
        </w:tabs>
        <w:snapToGrid/>
        <w:ind w:left="4200" w:hanging="420"/>
      </w:pPr>
    </w:lvl>
  </w:abstractNum>
  <w:abstractNum w:abstractNumId="20">
    <w:nsid w:val="7F4A1286"/>
    <w:multiLevelType w:val="hybridMultilevel"/>
    <w:tmpl w:val="B0FC3CFA"/>
    <w:lvl w:ilvl="0" w:tplc="C79088B0">
      <w:start w:val="1"/>
      <w:numFmt w:val="bullet"/>
      <w:lvlText w:val=""/>
      <w:lvlJc w:val="left"/>
      <w:pPr>
        <w:tabs>
          <w:tab w:val="num" w:pos="1260"/>
        </w:tabs>
        <w:snapToGrid/>
        <w:ind w:left="1260" w:hanging="420"/>
      </w:pPr>
      <w:rPr>
        <w:rFonts w:ascii="Wingdings" w:hAnsi="Wingdings"/>
      </w:rPr>
    </w:lvl>
    <w:lvl w:ilvl="1" w:tplc="6980D70A">
      <w:start w:val="1"/>
      <w:numFmt w:val="bullet"/>
      <w:lvlText w:val=""/>
      <w:lvlJc w:val="left"/>
      <w:pPr>
        <w:tabs>
          <w:tab w:val="num" w:pos="1680"/>
        </w:tabs>
        <w:snapToGrid/>
        <w:ind w:left="1680" w:hanging="420"/>
      </w:pPr>
      <w:rPr>
        <w:rFonts w:ascii="Wingdings" w:hAnsi="Wingdings"/>
      </w:rPr>
    </w:lvl>
    <w:lvl w:ilvl="2" w:tplc="5B38FA86">
      <w:start w:val="1"/>
      <w:numFmt w:val="bullet"/>
      <w:lvlText w:val=""/>
      <w:lvlJc w:val="left"/>
      <w:pPr>
        <w:tabs>
          <w:tab w:val="num" w:pos="2100"/>
        </w:tabs>
        <w:snapToGrid/>
        <w:ind w:left="2100" w:hanging="420"/>
      </w:pPr>
      <w:rPr>
        <w:rFonts w:ascii="Wingdings" w:hAnsi="Wingdings"/>
      </w:rPr>
    </w:lvl>
    <w:lvl w:ilvl="3" w:tplc="936624B0">
      <w:start w:val="1"/>
      <w:numFmt w:val="bullet"/>
      <w:lvlText w:val=""/>
      <w:lvlJc w:val="left"/>
      <w:pPr>
        <w:tabs>
          <w:tab w:val="num" w:pos="2520"/>
        </w:tabs>
        <w:snapToGrid/>
        <w:ind w:left="2520" w:hanging="420"/>
      </w:pPr>
      <w:rPr>
        <w:rFonts w:ascii="Wingdings" w:hAnsi="Wingdings"/>
      </w:rPr>
    </w:lvl>
    <w:lvl w:ilvl="4" w:tplc="C09CB5C8">
      <w:start w:val="1"/>
      <w:numFmt w:val="bullet"/>
      <w:lvlText w:val=""/>
      <w:lvlJc w:val="left"/>
      <w:pPr>
        <w:tabs>
          <w:tab w:val="num" w:pos="2940"/>
        </w:tabs>
        <w:snapToGrid/>
        <w:ind w:left="2940" w:hanging="420"/>
      </w:pPr>
      <w:rPr>
        <w:rFonts w:ascii="Wingdings" w:hAnsi="Wingdings"/>
      </w:rPr>
    </w:lvl>
    <w:lvl w:ilvl="5" w:tplc="722EB2D4">
      <w:start w:val="1"/>
      <w:numFmt w:val="bullet"/>
      <w:lvlText w:val=""/>
      <w:lvlJc w:val="left"/>
      <w:pPr>
        <w:tabs>
          <w:tab w:val="num" w:pos="3360"/>
        </w:tabs>
        <w:snapToGrid/>
        <w:ind w:left="3360" w:hanging="420"/>
      </w:pPr>
      <w:rPr>
        <w:rFonts w:ascii="Wingdings" w:hAnsi="Wingdings"/>
      </w:rPr>
    </w:lvl>
    <w:lvl w:ilvl="6" w:tplc="002ACA68">
      <w:start w:val="1"/>
      <w:numFmt w:val="bullet"/>
      <w:lvlText w:val=""/>
      <w:lvlJc w:val="left"/>
      <w:pPr>
        <w:tabs>
          <w:tab w:val="num" w:pos="3780"/>
        </w:tabs>
        <w:snapToGrid/>
        <w:ind w:left="3780" w:hanging="420"/>
      </w:pPr>
      <w:rPr>
        <w:rFonts w:ascii="Wingdings" w:hAnsi="Wingdings"/>
      </w:rPr>
    </w:lvl>
    <w:lvl w:ilvl="7" w:tplc="95127B96">
      <w:start w:val="1"/>
      <w:numFmt w:val="bullet"/>
      <w:lvlText w:val=""/>
      <w:lvlJc w:val="left"/>
      <w:pPr>
        <w:tabs>
          <w:tab w:val="num" w:pos="4200"/>
        </w:tabs>
        <w:snapToGrid/>
        <w:ind w:left="4200" w:hanging="420"/>
      </w:pPr>
      <w:rPr>
        <w:rFonts w:ascii="Wingdings" w:hAnsi="Wingdings"/>
      </w:rPr>
    </w:lvl>
    <w:lvl w:ilvl="8" w:tplc="AEBC06EE">
      <w:start w:val="1"/>
      <w:numFmt w:val="bullet"/>
      <w:lvlText w:val=""/>
      <w:lvlJc w:val="left"/>
      <w:pPr>
        <w:tabs>
          <w:tab w:val="num" w:pos="4620"/>
        </w:tabs>
        <w:snapToGrid/>
        <w:ind w:left="4620" w:hanging="420"/>
      </w:pPr>
      <w:rPr>
        <w:rFonts w:ascii="Wingdings" w:hAnsi="Wingdings"/>
      </w:rPr>
    </w:lvl>
  </w:abstractNum>
  <w:num w:numId="1">
    <w:abstractNumId w:val="8"/>
  </w:num>
  <w:num w:numId="2">
    <w:abstractNumId w:val="18"/>
  </w:num>
  <w:num w:numId="3">
    <w:abstractNumId w:val="7"/>
  </w:num>
  <w:num w:numId="4">
    <w:abstractNumId w:val="4"/>
  </w:num>
  <w:num w:numId="5">
    <w:abstractNumId w:val="2"/>
  </w:num>
  <w:num w:numId="6">
    <w:abstractNumId w:val="10"/>
  </w:num>
  <w:num w:numId="7">
    <w:abstractNumId w:val="15"/>
  </w:num>
  <w:num w:numId="8">
    <w:abstractNumId w:val="13"/>
  </w:num>
  <w:num w:numId="9">
    <w:abstractNumId w:val="1"/>
  </w:num>
  <w:num w:numId="10">
    <w:abstractNumId w:val="16"/>
  </w:num>
  <w:num w:numId="11">
    <w:abstractNumId w:val="17"/>
  </w:num>
  <w:num w:numId="12">
    <w:abstractNumId w:val="19"/>
  </w:num>
  <w:num w:numId="13">
    <w:abstractNumId w:val="11"/>
  </w:num>
  <w:num w:numId="14">
    <w:abstractNumId w:val="0"/>
  </w:num>
  <w:num w:numId="15">
    <w:abstractNumId w:val="20"/>
  </w:num>
  <w:num w:numId="16">
    <w:abstractNumId w:val="5"/>
  </w:num>
  <w:num w:numId="17">
    <w:abstractNumId w:val="12"/>
  </w:num>
  <w:num w:numId="18">
    <w:abstractNumId w:val="6"/>
  </w:num>
  <w:num w:numId="19">
    <w:abstractNumId w:val="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24961"/>
    <w:rsid w:val="00041AD4"/>
    <w:rsid w:val="001F1C51"/>
    <w:rsid w:val="002169D4"/>
    <w:rsid w:val="002457A2"/>
    <w:rsid w:val="0026776B"/>
    <w:rsid w:val="0055335E"/>
    <w:rsid w:val="00624B03"/>
    <w:rsid w:val="00631FBB"/>
    <w:rsid w:val="006C7D34"/>
    <w:rsid w:val="006D0628"/>
    <w:rsid w:val="007F3455"/>
    <w:rsid w:val="00BF75CD"/>
    <w:rsid w:val="00C23D7A"/>
    <w:rsid w:val="00D131E3"/>
    <w:rsid w:val="00DC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DB68E-25B7-480E-8299-30A29BC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D4"/>
  </w:style>
  <w:style w:type="paragraph" w:styleId="1">
    <w:name w:val="heading 1"/>
    <w:basedOn w:val="a"/>
    <w:next w:val="a"/>
    <w:link w:val="1Char"/>
    <w:rsid w:val="002169D4"/>
    <w:pPr>
      <w:keepNext/>
      <w:keepLines/>
      <w:spacing w:before="120" w:after="120" w:line="360" w:lineRule="auto"/>
      <w:outlineLvl w:val="0"/>
    </w:pPr>
    <w:rPr>
      <w:rFonts w:ascii="宋体"/>
      <w:b/>
      <w:color w:val="000000"/>
      <w:sz w:val="24"/>
      <w:szCs w:val="20"/>
    </w:rPr>
  </w:style>
  <w:style w:type="paragraph" w:styleId="2">
    <w:name w:val="heading 2"/>
    <w:basedOn w:val="a"/>
    <w:next w:val="a"/>
    <w:link w:val="2Char"/>
    <w:rsid w:val="002169D4"/>
    <w:pPr>
      <w:keepNext/>
      <w:keepLines/>
      <w:spacing w:before="120" w:after="120" w:line="360" w:lineRule="auto"/>
      <w:outlineLvl w:val="1"/>
    </w:pPr>
    <w:rPr>
      <w:rFonts w:ascii="宋体"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link w:val="Heading1Char"/>
    <w:uiPriority w:val="9"/>
    <w:qFormat/>
    <w:rsid w:val="002169D4"/>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2169D4"/>
    <w:rPr>
      <w:rFonts w:ascii="Arial" w:eastAsia="Arial" w:hAnsi="Arial" w:cs="Arial"/>
      <w:sz w:val="40"/>
      <w:szCs w:val="40"/>
    </w:rPr>
  </w:style>
  <w:style w:type="paragraph" w:customStyle="1" w:styleId="21">
    <w:name w:val="标题 21"/>
    <w:link w:val="Heading2Char"/>
    <w:uiPriority w:val="9"/>
    <w:unhideWhenUsed/>
    <w:qFormat/>
    <w:rsid w:val="002169D4"/>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2169D4"/>
    <w:rPr>
      <w:rFonts w:ascii="Arial" w:eastAsia="Arial" w:hAnsi="Arial" w:cs="Arial"/>
      <w:sz w:val="34"/>
    </w:rPr>
  </w:style>
  <w:style w:type="paragraph" w:customStyle="1" w:styleId="31">
    <w:name w:val="标题 31"/>
    <w:link w:val="Heading3Char"/>
    <w:uiPriority w:val="9"/>
    <w:unhideWhenUsed/>
    <w:qFormat/>
    <w:rsid w:val="002169D4"/>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2169D4"/>
    <w:rPr>
      <w:rFonts w:ascii="Arial" w:eastAsia="Arial" w:hAnsi="Arial" w:cs="Arial"/>
      <w:sz w:val="30"/>
      <w:szCs w:val="30"/>
    </w:rPr>
  </w:style>
  <w:style w:type="paragraph" w:customStyle="1" w:styleId="41">
    <w:name w:val="标题 41"/>
    <w:link w:val="Heading4Char"/>
    <w:uiPriority w:val="9"/>
    <w:unhideWhenUsed/>
    <w:qFormat/>
    <w:rsid w:val="002169D4"/>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2169D4"/>
    <w:rPr>
      <w:rFonts w:ascii="Arial" w:eastAsia="Arial" w:hAnsi="Arial" w:cs="Arial"/>
      <w:b/>
      <w:bCs/>
      <w:sz w:val="26"/>
      <w:szCs w:val="26"/>
    </w:rPr>
  </w:style>
  <w:style w:type="paragraph" w:customStyle="1" w:styleId="51">
    <w:name w:val="标题 51"/>
    <w:link w:val="Heading5Char"/>
    <w:uiPriority w:val="9"/>
    <w:unhideWhenUsed/>
    <w:qFormat/>
    <w:rsid w:val="002169D4"/>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2169D4"/>
    <w:rPr>
      <w:rFonts w:ascii="Arial" w:eastAsia="Arial" w:hAnsi="Arial" w:cs="Arial"/>
      <w:b/>
      <w:bCs/>
      <w:sz w:val="24"/>
      <w:szCs w:val="24"/>
    </w:rPr>
  </w:style>
  <w:style w:type="paragraph" w:customStyle="1" w:styleId="61">
    <w:name w:val="标题 61"/>
    <w:link w:val="Heading6Char"/>
    <w:uiPriority w:val="9"/>
    <w:unhideWhenUsed/>
    <w:qFormat/>
    <w:rsid w:val="002169D4"/>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sid w:val="002169D4"/>
    <w:rPr>
      <w:rFonts w:ascii="Arial" w:eastAsia="Arial" w:hAnsi="Arial" w:cs="Arial"/>
      <w:b/>
      <w:bCs/>
      <w:sz w:val="22"/>
      <w:szCs w:val="22"/>
    </w:rPr>
  </w:style>
  <w:style w:type="paragraph" w:customStyle="1" w:styleId="71">
    <w:name w:val="标题 71"/>
    <w:link w:val="Heading7Char"/>
    <w:uiPriority w:val="9"/>
    <w:unhideWhenUsed/>
    <w:qFormat/>
    <w:rsid w:val="002169D4"/>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sid w:val="002169D4"/>
    <w:rPr>
      <w:rFonts w:ascii="Arial" w:eastAsia="Arial" w:hAnsi="Arial" w:cs="Arial"/>
      <w:b/>
      <w:bCs/>
      <w:i/>
      <w:iCs/>
      <w:sz w:val="22"/>
      <w:szCs w:val="22"/>
    </w:rPr>
  </w:style>
  <w:style w:type="paragraph" w:customStyle="1" w:styleId="81">
    <w:name w:val="标题 81"/>
    <w:link w:val="Heading8Char"/>
    <w:uiPriority w:val="9"/>
    <w:unhideWhenUsed/>
    <w:qFormat/>
    <w:rsid w:val="002169D4"/>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sid w:val="002169D4"/>
    <w:rPr>
      <w:rFonts w:ascii="Arial" w:eastAsia="Arial" w:hAnsi="Arial" w:cs="Arial"/>
      <w:i/>
      <w:iCs/>
      <w:sz w:val="22"/>
      <w:szCs w:val="22"/>
    </w:rPr>
  </w:style>
  <w:style w:type="paragraph" w:customStyle="1" w:styleId="91">
    <w:name w:val="标题 91"/>
    <w:link w:val="Heading9Char"/>
    <w:uiPriority w:val="9"/>
    <w:unhideWhenUsed/>
    <w:qFormat/>
    <w:rsid w:val="002169D4"/>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2169D4"/>
    <w:rPr>
      <w:rFonts w:ascii="Arial" w:eastAsia="Arial" w:hAnsi="Arial" w:cs="Arial"/>
      <w:i/>
      <w:iCs/>
      <w:sz w:val="21"/>
      <w:szCs w:val="21"/>
    </w:rPr>
  </w:style>
  <w:style w:type="paragraph" w:styleId="a3">
    <w:name w:val="List Paragraph"/>
    <w:basedOn w:val="a"/>
    <w:rsid w:val="002169D4"/>
    <w:pPr>
      <w:ind w:firstLine="200"/>
    </w:pPr>
    <w:rPr>
      <w:rFonts w:ascii="Calibri" w:hAnsi="Calibri"/>
    </w:rPr>
  </w:style>
  <w:style w:type="paragraph" w:styleId="a4">
    <w:name w:val="No Spacing"/>
    <w:uiPriority w:val="1"/>
    <w:qFormat/>
    <w:rsid w:val="002169D4"/>
  </w:style>
  <w:style w:type="paragraph" w:styleId="a5">
    <w:name w:val="Title"/>
    <w:link w:val="Char"/>
    <w:uiPriority w:val="10"/>
    <w:qFormat/>
    <w:rsid w:val="002169D4"/>
    <w:pPr>
      <w:spacing w:before="300" w:after="200"/>
      <w:contextualSpacing/>
    </w:pPr>
    <w:rPr>
      <w:sz w:val="48"/>
      <w:szCs w:val="48"/>
    </w:rPr>
  </w:style>
  <w:style w:type="character" w:customStyle="1" w:styleId="Char">
    <w:name w:val="标题 Char"/>
    <w:link w:val="a5"/>
    <w:uiPriority w:val="10"/>
    <w:rsid w:val="002169D4"/>
    <w:rPr>
      <w:sz w:val="48"/>
      <w:szCs w:val="48"/>
    </w:rPr>
  </w:style>
  <w:style w:type="paragraph" w:styleId="a6">
    <w:name w:val="Subtitle"/>
    <w:link w:val="Char0"/>
    <w:uiPriority w:val="11"/>
    <w:qFormat/>
    <w:rsid w:val="002169D4"/>
    <w:pPr>
      <w:spacing w:before="200" w:after="200"/>
    </w:pPr>
    <w:rPr>
      <w:sz w:val="24"/>
      <w:szCs w:val="24"/>
    </w:rPr>
  </w:style>
  <w:style w:type="character" w:customStyle="1" w:styleId="Char0">
    <w:name w:val="副标题 Char"/>
    <w:link w:val="a6"/>
    <w:uiPriority w:val="11"/>
    <w:rsid w:val="002169D4"/>
    <w:rPr>
      <w:sz w:val="24"/>
      <w:szCs w:val="24"/>
    </w:rPr>
  </w:style>
  <w:style w:type="paragraph" w:styleId="a7">
    <w:name w:val="Quote"/>
    <w:link w:val="Char1"/>
    <w:uiPriority w:val="29"/>
    <w:qFormat/>
    <w:rsid w:val="002169D4"/>
    <w:pPr>
      <w:ind w:left="720" w:right="720"/>
    </w:pPr>
    <w:rPr>
      <w:i/>
    </w:rPr>
  </w:style>
  <w:style w:type="character" w:customStyle="1" w:styleId="Char1">
    <w:name w:val="引用 Char"/>
    <w:link w:val="a7"/>
    <w:uiPriority w:val="29"/>
    <w:rsid w:val="002169D4"/>
    <w:rPr>
      <w:i/>
    </w:rPr>
  </w:style>
  <w:style w:type="paragraph" w:styleId="a8">
    <w:name w:val="Intense Quote"/>
    <w:link w:val="Char2"/>
    <w:uiPriority w:val="30"/>
    <w:qFormat/>
    <w:rsid w:val="002169D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2">
    <w:name w:val="明显引用 Char"/>
    <w:link w:val="a8"/>
    <w:uiPriority w:val="30"/>
    <w:rsid w:val="002169D4"/>
    <w:rPr>
      <w:i/>
    </w:rPr>
  </w:style>
  <w:style w:type="paragraph" w:customStyle="1" w:styleId="10">
    <w:name w:val="页眉1"/>
    <w:link w:val="HeaderChar"/>
    <w:uiPriority w:val="99"/>
    <w:unhideWhenUsed/>
    <w:rsid w:val="002169D4"/>
    <w:pPr>
      <w:tabs>
        <w:tab w:val="center" w:pos="7143"/>
        <w:tab w:val="right" w:pos="14287"/>
      </w:tabs>
    </w:pPr>
  </w:style>
  <w:style w:type="character" w:customStyle="1" w:styleId="HeaderChar">
    <w:name w:val="Header Char"/>
    <w:link w:val="10"/>
    <w:uiPriority w:val="99"/>
    <w:rsid w:val="002169D4"/>
  </w:style>
  <w:style w:type="paragraph" w:customStyle="1" w:styleId="12">
    <w:name w:val="页脚1"/>
    <w:link w:val="FooterChar"/>
    <w:uiPriority w:val="99"/>
    <w:unhideWhenUsed/>
    <w:rsid w:val="002169D4"/>
    <w:pPr>
      <w:tabs>
        <w:tab w:val="center" w:pos="7143"/>
        <w:tab w:val="right" w:pos="14287"/>
      </w:tabs>
    </w:pPr>
  </w:style>
  <w:style w:type="character" w:customStyle="1" w:styleId="FooterChar">
    <w:name w:val="Footer Char"/>
    <w:link w:val="12"/>
    <w:uiPriority w:val="99"/>
    <w:rsid w:val="002169D4"/>
  </w:style>
  <w:style w:type="table" w:styleId="a9">
    <w:name w:val="Table Grid"/>
    <w:uiPriority w:val="59"/>
    <w:rsid w:val="00216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uiPriority w:val="59"/>
    <w:rsid w:val="002169D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uiPriority w:val="59"/>
    <w:rsid w:val="002169D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uiPriority w:val="59"/>
    <w:rsid w:val="002169D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i/>
        <w:color w:val="404040"/>
      </w:rPr>
      <w:tblPr/>
      <w:tcPr>
        <w:tcBorders>
          <w:left w:val="none" w:sz="4" w:space="0" w:color="000000"/>
          <w:bottom w:val="single" w:sz="4" w:space="0" w:color="404040"/>
          <w:right w:val="none" w:sz="4" w:space="0" w:color="000000"/>
        </w:tcBorders>
        <w:shd w:val="clear" w:color="auto"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uiPriority w:val="99"/>
    <w:rsid w:val="002169D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uiPriority w:val="99"/>
    <w:rsid w:val="002169D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uiPriority w:val="99"/>
    <w:rsid w:val="002169D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uiPriority w:val="99"/>
    <w:rsid w:val="002169D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uiPriority w:val="99"/>
    <w:rsid w:val="002169D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uiPriority w:val="99"/>
    <w:rsid w:val="002169D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uiPriority w:val="99"/>
    <w:rsid w:val="002169D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uiPriority w:val="99"/>
    <w:rsid w:val="002169D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uiPriority w:val="99"/>
    <w:rsid w:val="002169D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pPr>
        <w:snapToGrid/>
      </w:pPr>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uiPriority w:val="99"/>
    <w:rsid w:val="002169D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pPr>
        <w:snapToGrid/>
      </w:pPr>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uiPriority w:val="99"/>
    <w:rsid w:val="002169D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pPr>
        <w:snapToGrid/>
      </w:pPr>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uiPriority w:val="99"/>
    <w:rsid w:val="002169D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pPr>
        <w:snapToGrid/>
      </w:pPr>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uiPriority w:val="99"/>
    <w:rsid w:val="002169D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uiPriority w:val="99"/>
    <w:rsid w:val="002169D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uiPriority w:val="99"/>
    <w:rsid w:val="002169D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uiPriority w:val="99"/>
    <w:rsid w:val="002169D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uiPriority w:val="99"/>
    <w:rsid w:val="002169D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uiPriority w:val="99"/>
    <w:rsid w:val="002169D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uiPriority w:val="99"/>
    <w:rsid w:val="002169D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uiPriority w:val="99"/>
    <w:rsid w:val="002169D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uiPriority w:val="99"/>
    <w:rsid w:val="002169D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uiPriority w:val="59"/>
    <w:rsid w:val="002169D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uiPriority w:val="59"/>
    <w:rsid w:val="002169D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uiPriority w:val="59"/>
    <w:rsid w:val="002169D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uiPriority w:val="59"/>
    <w:rsid w:val="002169D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uiPriority w:val="59"/>
    <w:rsid w:val="002169D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uiPriority w:val="59"/>
    <w:rsid w:val="002169D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uiPriority w:val="59"/>
    <w:rsid w:val="002169D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uiPriority w:val="99"/>
    <w:rsid w:val="002169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uiPriority w:val="99"/>
    <w:rsid w:val="002169D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uiPriority w:val="99"/>
    <w:rsid w:val="002169D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pPr>
        <w:snapToGrid/>
      </w:pPr>
      <w:rPr>
        <w:b/>
        <w:color w:val="A6BFDD" w:themeColor="accent1" w:themeTint="80" w:themeShade="95"/>
      </w:rPr>
      <w:tblPr/>
      <w:tcPr>
        <w:tcBorders>
          <w:bottom w:val="single" w:sz="12" w:space="0" w:color="A6BFDD" w:themeColor="accent1" w:themeTint="80"/>
        </w:tcBorders>
      </w:tcPr>
    </w:tblStylePr>
    <w:tblStylePr w:type="lastRow">
      <w:pPr>
        <w:snapToGrid/>
      </w:pPr>
      <w:rPr>
        <w:b/>
        <w:color w:val="A6BFDD" w:themeColor="accent1" w:themeTint="80" w:themeShade="95"/>
      </w:rPr>
    </w:tblStylePr>
    <w:tblStylePr w:type="firstCol">
      <w:pPr>
        <w:snapToGrid/>
      </w:pPr>
      <w:rPr>
        <w:b/>
        <w:color w:val="A6BFDD" w:themeColor="accent1" w:themeTint="80" w:themeShade="95"/>
      </w:rPr>
    </w:tblStylePr>
    <w:tblStylePr w:type="lastCol">
      <w:pPr>
        <w:snapToGrid/>
      </w:pPr>
      <w:rPr>
        <w:b/>
        <w:color w:val="A6BFDD" w:themeColor="accent1" w:themeTint="80" w:themeShade="95"/>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auto"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uiPriority w:val="99"/>
    <w:rsid w:val="002169D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D99695" w:themeColor="accent2" w:themeTint="97" w:themeShade="95"/>
      </w:rPr>
      <w:tblPr/>
      <w:tcPr>
        <w:tcBorders>
          <w:bottom w:val="single" w:sz="12" w:space="0" w:color="D99695" w:themeColor="accent2" w:themeTint="97"/>
        </w:tcBorders>
      </w:tcPr>
    </w:tblStylePr>
    <w:tblStylePr w:type="lastRow">
      <w:pPr>
        <w:snapToGrid/>
      </w:pPr>
      <w:rPr>
        <w:b/>
        <w:color w:val="D99695" w:themeColor="accent2" w:themeTint="97" w:themeShade="95"/>
      </w:r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uiPriority w:val="99"/>
    <w:rsid w:val="002169D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9ABB59" w:themeColor="accent3" w:themeTint="FE" w:themeShade="95"/>
      </w:rPr>
      <w:tblPr/>
      <w:tcPr>
        <w:tcBorders>
          <w:bottom w:val="single" w:sz="12" w:space="0" w:color="9ABB59" w:themeColor="accent3" w:themeTint="FE"/>
        </w:tcBorders>
      </w:tcPr>
    </w:tblStylePr>
    <w:tblStylePr w:type="lastRow">
      <w:pPr>
        <w:snapToGrid/>
      </w:pPr>
      <w:rPr>
        <w:b/>
        <w:color w:val="9ABB59" w:themeColor="accent3" w:themeTint="FE" w:themeShade="95"/>
      </w:rPr>
    </w:tblStylePr>
    <w:tblStylePr w:type="firstCol">
      <w:pPr>
        <w:snapToGrid/>
      </w:pPr>
      <w:rPr>
        <w:b/>
        <w:color w:val="9ABB59" w:themeColor="accent3" w:themeTint="FE" w:themeShade="95"/>
      </w:rPr>
    </w:tblStylePr>
    <w:tblStylePr w:type="lastCol">
      <w:pPr>
        <w:snapToGrid/>
      </w:pPr>
      <w:rPr>
        <w:b/>
        <w:color w:val="9ABB59" w:themeColor="accent3" w:themeTint="FE" w:themeShade="95"/>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auto"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uiPriority w:val="99"/>
    <w:rsid w:val="002169D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B2A1C6" w:themeColor="accent4" w:themeTint="9A" w:themeShade="95"/>
      </w:rPr>
      <w:tblPr/>
      <w:tcPr>
        <w:tcBorders>
          <w:bottom w:val="single" w:sz="12" w:space="0" w:color="B2A1C6" w:themeColor="accent4" w:themeTint="9A"/>
        </w:tcBorders>
      </w:tcPr>
    </w:tblStylePr>
    <w:tblStylePr w:type="lastRow">
      <w:pPr>
        <w:snapToGrid/>
      </w:pPr>
      <w:rPr>
        <w:b/>
        <w:color w:val="B2A1C6" w:themeColor="accent4" w:themeTint="9A" w:themeShade="95"/>
      </w:r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uiPriority w:val="99"/>
    <w:rsid w:val="002169D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266779" w:themeColor="accent5" w:themeShade="95"/>
      </w:rPr>
      <w:tblPr/>
      <w:tcPr>
        <w:tcBorders>
          <w:bottom w:val="single" w:sz="12" w:space="0" w:color="4BACC6" w:themeColor="accent5"/>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uiPriority w:val="99"/>
    <w:rsid w:val="002169D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266779" w:themeColor="accent5" w:themeShade="95"/>
      </w:rPr>
      <w:tblPr/>
      <w:tcPr>
        <w:tcBorders>
          <w:bottom w:val="single" w:sz="12" w:space="0" w:color="F79646" w:themeColor="accent6"/>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FDE9D8" w:themeFill="accent6"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uiPriority w:val="99"/>
    <w:rsid w:val="002169D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uiPriority w:val="99"/>
    <w:rsid w:val="002169D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pPr>
        <w:snapToGrid/>
      </w:pPr>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pPr>
        <w:snapToGrid/>
      </w:pPr>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auto"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uiPriority w:val="99"/>
    <w:rsid w:val="002169D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pPr>
        <w:snapToGrid/>
      </w:pPr>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uiPriority w:val="99"/>
    <w:rsid w:val="002169D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pPr>
        <w:snapToGrid/>
      </w:pPr>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pPr>
        <w:snapToGrid/>
      </w:pPr>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auto"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uiPriority w:val="99"/>
    <w:rsid w:val="002169D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pPr>
        <w:snapToGrid/>
      </w:pPr>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uiPriority w:val="99"/>
    <w:rsid w:val="002169D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pPr>
        <w:snapToGrid/>
      </w:pPr>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pPr>
        <w:snapToGrid/>
      </w:pPr>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uiPriority w:val="99"/>
    <w:rsid w:val="002169D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pPr>
        <w:snapToGrid/>
      </w:pPr>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pPr>
        <w:snapToGrid/>
      </w:pPr>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15407" w:themeColor="accent6" w:themeShade="95"/>
        <w:sz w:val="22"/>
      </w:rPr>
      <w:tblPr/>
      <w:tcPr>
        <w:shd w:val="clear" w:color="auto" w:fill="FDE9D8" w:themeFill="accent6" w:themeFillTint="34"/>
      </w:tcPr>
    </w:tblStylePr>
    <w:tblStylePr w:type="band2Horz">
      <w:pPr>
        <w:snapToGrid/>
      </w:pPr>
      <w:rPr>
        <w:rFonts w:ascii="Arial" w:hAnsi="Arial"/>
        <w:color w:val="B15407"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pPr>
        <w:snapToGrid/>
      </w:pPr>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pPr>
        <w:snapToGrid/>
      </w:pPr>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pPr>
        <w:snapToGrid/>
      </w:pPr>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pPr>
        <w:snapToGrid/>
      </w:pPr>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uiPriority w:val="99"/>
    <w:rsid w:val="002169D4"/>
    <w:tblPr>
      <w:tblStyleRowBandSize w:val="1"/>
      <w:tblStyleColBandSize w:val="1"/>
      <w:tblInd w:w="0" w:type="dxa"/>
      <w:tblCellMar>
        <w:top w:w="0" w:type="dxa"/>
        <w:left w:w="0" w:type="dxa"/>
        <w:bottom w:w="0" w:type="dxa"/>
        <w:right w:w="0" w:type="dxa"/>
      </w:tblCellMar>
    </w:tblPr>
    <w:tblStylePr w:type="firstRow">
      <w:pPr>
        <w:snapToGrid/>
      </w:pPr>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uiPriority w:val="99"/>
    <w:rsid w:val="002169D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uiPriority w:val="99"/>
    <w:rsid w:val="002169D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uiPriority w:val="99"/>
    <w:rsid w:val="002169D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uiPriority w:val="99"/>
    <w:rsid w:val="002169D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uiPriority w:val="99"/>
    <w:rsid w:val="002169D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uiPriority w:val="99"/>
    <w:rsid w:val="002169D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uiPriority w:val="99"/>
    <w:rsid w:val="002169D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uiPriority w:val="99"/>
    <w:rsid w:val="002169D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uiPriority w:val="99"/>
    <w:rsid w:val="002169D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uiPriority w:val="99"/>
    <w:rsid w:val="002169D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uiPriority w:val="99"/>
    <w:rsid w:val="002169D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uiPriority w:val="99"/>
    <w:rsid w:val="002169D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uiPriority w:val="99"/>
    <w:rsid w:val="002169D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uiPriority w:val="99"/>
    <w:rsid w:val="002169D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uiPriority w:val="99"/>
    <w:rsid w:val="002169D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uiPriority w:val="99"/>
    <w:rsid w:val="002169D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uiPriority w:val="99"/>
    <w:rsid w:val="002169D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uiPriority w:val="99"/>
    <w:rsid w:val="002169D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uiPriority w:val="99"/>
    <w:rsid w:val="002169D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uiPriority w:val="99"/>
    <w:rsid w:val="002169D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uiPriority w:val="99"/>
    <w:rsid w:val="002169D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uiPriority w:val="99"/>
    <w:rsid w:val="002169D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uiPriority w:val="99"/>
    <w:rsid w:val="002169D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uiPriority w:val="99"/>
    <w:rsid w:val="002169D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uiPriority w:val="99"/>
    <w:rsid w:val="002169D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uiPriority w:val="99"/>
    <w:rsid w:val="002169D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uiPriority w:val="99"/>
    <w:rsid w:val="002169D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uiPriority w:val="99"/>
    <w:rsid w:val="002169D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uiPriority w:val="99"/>
    <w:rsid w:val="002169D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uiPriority w:val="99"/>
    <w:rsid w:val="002169D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pPr>
        <w:snapToGrid/>
      </w:pPr>
      <w:rPr>
        <w:b/>
        <w:color w:val="2A4A71" w:themeColor="accent1" w:themeShade="95"/>
      </w:rPr>
      <w:tblPr/>
      <w:tcPr>
        <w:tcBorders>
          <w:bottom w:val="single" w:sz="4" w:space="0" w:color="4F81BD" w:themeColor="accent1"/>
        </w:tcBorders>
      </w:tcPr>
    </w:tblStylePr>
    <w:tblStylePr w:type="lastRow">
      <w:pPr>
        <w:snapToGrid/>
      </w:pPr>
      <w:rPr>
        <w:b/>
        <w:color w:val="2A4A71" w:themeColor="accent1" w:themeShade="95"/>
      </w:rPr>
      <w:tblPr/>
      <w:tcPr>
        <w:tcBorders>
          <w:top w:val="single" w:sz="4" w:space="0" w:color="4F81BD" w:themeColor="accent1"/>
        </w:tcBorders>
      </w:tcPr>
    </w:tblStylePr>
    <w:tblStylePr w:type="firstCol">
      <w:pPr>
        <w:snapToGrid/>
      </w:pPr>
      <w:rPr>
        <w:b/>
        <w:color w:val="2A4A71" w:themeColor="accent1" w:themeShade="95"/>
      </w:rPr>
    </w:tblStylePr>
    <w:tblStylePr w:type="lastCol">
      <w:pPr>
        <w:snapToGrid/>
      </w:pPr>
      <w:rPr>
        <w:b/>
        <w:color w:val="2A4A71" w:themeColor="accent1" w:themeShade="95"/>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auto"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uiPriority w:val="99"/>
    <w:rsid w:val="002169D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pPr>
        <w:snapToGrid/>
      </w:pPr>
      <w:rPr>
        <w:b/>
        <w:color w:val="D99695" w:themeColor="accent2" w:themeTint="97" w:themeShade="95"/>
      </w:rPr>
      <w:tblPr/>
      <w:tcPr>
        <w:tcBorders>
          <w:bottom w:val="single" w:sz="4" w:space="0" w:color="D99695" w:themeColor="accent2" w:themeTint="97"/>
        </w:tcBorders>
      </w:tcPr>
    </w:tblStylePr>
    <w:tblStylePr w:type="lastRow">
      <w:pPr>
        <w:snapToGrid/>
      </w:pPr>
      <w:rPr>
        <w:b/>
        <w:color w:val="D99695" w:themeColor="accent2" w:themeTint="97" w:themeShade="95"/>
      </w:rPr>
      <w:tblPr/>
      <w:tcPr>
        <w:tcBorders>
          <w:top w:val="single" w:sz="4" w:space="0" w:color="D99695" w:themeColor="accent2" w:themeTint="97"/>
        </w:tcBorders>
      </w:tc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uiPriority w:val="99"/>
    <w:rsid w:val="002169D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pPr>
        <w:snapToGrid/>
      </w:pPr>
      <w:rPr>
        <w:b/>
        <w:color w:val="C3D69B" w:themeColor="accent3" w:themeTint="98" w:themeShade="95"/>
      </w:rPr>
      <w:tblPr/>
      <w:tcPr>
        <w:tcBorders>
          <w:bottom w:val="single" w:sz="4" w:space="0" w:color="C3D69B" w:themeColor="accent3" w:themeTint="98"/>
        </w:tcBorders>
      </w:tcPr>
    </w:tblStylePr>
    <w:tblStylePr w:type="lastRow">
      <w:pPr>
        <w:snapToGrid/>
      </w:pPr>
      <w:rPr>
        <w:b/>
        <w:color w:val="C3D69B" w:themeColor="accent3" w:themeTint="98" w:themeShade="95"/>
      </w:rPr>
      <w:tblPr/>
      <w:tcPr>
        <w:tcBorders>
          <w:top w:val="single" w:sz="4" w:space="0" w:color="C3D69B" w:themeColor="accent3" w:themeTint="98"/>
        </w:tcBorders>
      </w:tcPr>
    </w:tblStylePr>
    <w:tblStylePr w:type="firstCol">
      <w:pPr>
        <w:snapToGrid/>
      </w:pPr>
      <w:rPr>
        <w:b/>
        <w:color w:val="C3D69B" w:themeColor="accent3" w:themeTint="98" w:themeShade="95"/>
      </w:rPr>
    </w:tblStylePr>
    <w:tblStylePr w:type="lastCol">
      <w:pPr>
        <w:snapToGrid/>
      </w:pPr>
      <w:rPr>
        <w:b/>
        <w:color w:val="C3D69B" w:themeColor="accent3" w:themeTint="98" w:themeShade="95"/>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auto"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uiPriority w:val="99"/>
    <w:rsid w:val="002169D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pPr>
        <w:snapToGrid/>
      </w:pPr>
      <w:rPr>
        <w:b/>
        <w:color w:val="B2A1C6" w:themeColor="accent4" w:themeTint="9A" w:themeShade="95"/>
      </w:rPr>
      <w:tblPr/>
      <w:tcPr>
        <w:tcBorders>
          <w:bottom w:val="single" w:sz="4" w:space="0" w:color="B2A1C6" w:themeColor="accent4" w:themeTint="9A"/>
        </w:tcBorders>
      </w:tcPr>
    </w:tblStylePr>
    <w:tblStylePr w:type="lastRow">
      <w:pPr>
        <w:snapToGrid/>
      </w:pPr>
      <w:rPr>
        <w:b/>
        <w:color w:val="B2A1C6" w:themeColor="accent4" w:themeTint="9A" w:themeShade="95"/>
      </w:rPr>
      <w:tblPr/>
      <w:tcPr>
        <w:tcBorders>
          <w:top w:val="single" w:sz="4" w:space="0" w:color="B2A1C6" w:themeColor="accent4" w:themeTint="9A"/>
        </w:tcBorders>
      </w:tc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uiPriority w:val="99"/>
    <w:rsid w:val="002169D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pPr>
        <w:snapToGrid/>
      </w:pPr>
      <w:rPr>
        <w:b/>
        <w:color w:val="92CCDC" w:themeColor="accent5" w:themeTint="9A" w:themeShade="95"/>
      </w:rPr>
      <w:tblPr/>
      <w:tcPr>
        <w:tcBorders>
          <w:bottom w:val="single" w:sz="4" w:space="0" w:color="92CCDC" w:themeColor="accent5" w:themeTint="9A"/>
        </w:tcBorders>
      </w:tcPr>
    </w:tblStylePr>
    <w:tblStylePr w:type="lastRow">
      <w:pPr>
        <w:snapToGrid/>
      </w:pPr>
      <w:rPr>
        <w:b/>
        <w:color w:val="92CCDC" w:themeColor="accent5" w:themeTint="9A" w:themeShade="95"/>
      </w:rPr>
      <w:tblPr/>
      <w:tcPr>
        <w:tcBorders>
          <w:top w:val="single" w:sz="4" w:space="0" w:color="92CCDC" w:themeColor="accent5" w:themeTint="9A"/>
        </w:tcBorders>
      </w:tcPr>
    </w:tblStylePr>
    <w:tblStylePr w:type="firstCol">
      <w:pPr>
        <w:snapToGrid/>
      </w:pPr>
      <w:rPr>
        <w:b/>
        <w:color w:val="92CCDC" w:themeColor="accent5" w:themeTint="9A" w:themeShade="95"/>
      </w:rPr>
    </w:tblStylePr>
    <w:tblStylePr w:type="lastCol">
      <w:pPr>
        <w:snapToGrid/>
      </w:pPr>
      <w:rPr>
        <w:b/>
        <w:color w:val="92CCDC" w:themeColor="accent5" w:themeTint="9A" w:themeShade="95"/>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auto"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uiPriority w:val="99"/>
    <w:rsid w:val="002169D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pPr>
        <w:snapToGrid/>
      </w:pPr>
      <w:rPr>
        <w:b/>
        <w:color w:val="FAC090" w:themeColor="accent6" w:themeTint="98" w:themeShade="95"/>
      </w:rPr>
      <w:tblPr/>
      <w:tcPr>
        <w:tcBorders>
          <w:bottom w:val="single" w:sz="4" w:space="0" w:color="FAC090" w:themeColor="accent6" w:themeTint="98"/>
        </w:tcBorders>
      </w:tcPr>
    </w:tblStylePr>
    <w:tblStylePr w:type="lastRow">
      <w:pPr>
        <w:snapToGrid/>
      </w:pPr>
      <w:rPr>
        <w:b/>
        <w:color w:val="FAC090" w:themeColor="accent6" w:themeTint="98" w:themeShade="95"/>
      </w:rPr>
      <w:tblPr/>
      <w:tcPr>
        <w:tcBorders>
          <w:top w:val="single" w:sz="4" w:space="0" w:color="FAC090" w:themeColor="accent6" w:themeTint="98"/>
        </w:tcBorders>
      </w:tcPr>
    </w:tblStylePr>
    <w:tblStylePr w:type="firstCol">
      <w:pPr>
        <w:snapToGrid/>
      </w:pPr>
      <w:rPr>
        <w:b/>
        <w:color w:val="FAC090" w:themeColor="accent6" w:themeTint="98" w:themeShade="95"/>
      </w:rPr>
    </w:tblStylePr>
    <w:tblStylePr w:type="lastCol">
      <w:pPr>
        <w:snapToGrid/>
      </w:pPr>
      <w:rPr>
        <w:b/>
        <w:color w:val="FAC090" w:themeColor="accent6" w:themeTint="98" w:themeShade="95"/>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auto"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uiPriority w:val="99"/>
    <w:rsid w:val="002169D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uiPriority w:val="99"/>
    <w:rsid w:val="002169D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pPr>
        <w:snapToGrid/>
      </w:pPr>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pPr>
        <w:snapToGrid/>
      </w:pPr>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pPr>
        <w:snapToGrid/>
      </w:pPr>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auto"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uiPriority w:val="99"/>
    <w:rsid w:val="002169D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pPr>
        <w:snapToGrid/>
      </w:pPr>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pPr>
        <w:snapToGrid/>
      </w:pPr>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uiPriority w:val="99"/>
    <w:rsid w:val="002169D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pPr>
        <w:snapToGrid/>
      </w:pPr>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pPr>
        <w:snapToGrid/>
      </w:pPr>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pPr>
        <w:snapToGrid/>
      </w:pPr>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auto"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uiPriority w:val="99"/>
    <w:rsid w:val="002169D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pPr>
        <w:snapToGrid/>
      </w:pPr>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pPr>
        <w:snapToGrid/>
      </w:pPr>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uiPriority w:val="99"/>
    <w:rsid w:val="002169D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pPr>
        <w:snapToGrid/>
      </w:pPr>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pPr>
        <w:snapToGrid/>
      </w:pPr>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pPr>
        <w:snapToGrid/>
      </w:pPr>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auto"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uiPriority w:val="99"/>
    <w:rsid w:val="002169D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pPr>
        <w:snapToGrid/>
      </w:pPr>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pPr>
        <w:snapToGrid/>
      </w:pPr>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pPr>
        <w:snapToGrid/>
      </w:pPr>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auto"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uiPriority w:val="99"/>
    <w:rsid w:val="002169D4"/>
    <w:rPr>
      <w:color w:val="404040"/>
      <w:szCs w:val="20"/>
      <w:lang w:eastAsia="zh-CN" w:bidi="ar-SA"/>
    </w:rPr>
    <w:tblPr>
      <w:tblStyleRowBandSize w:val="1"/>
      <w:tblStyleColBandSize w:val="1"/>
      <w:tblInd w:w="0" w:type="dxa"/>
      <w:tblCellMar>
        <w:top w:w="0" w:type="dxa"/>
        <w:left w:w="0" w:type="dxa"/>
        <w:bottom w:w="0" w:type="dxa"/>
        <w:right w:w="0" w:type="dxa"/>
      </w:tblCellMa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uiPriority w:val="99"/>
    <w:rsid w:val="002169D4"/>
    <w:rPr>
      <w:color w:val="404040"/>
      <w:szCs w:val="20"/>
      <w:lang w:eastAsia="zh-CN"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uiPriority w:val="99"/>
    <w:rsid w:val="002169D4"/>
    <w:rPr>
      <w:color w:val="404040"/>
      <w:szCs w:val="20"/>
      <w:lang w:eastAsia="zh-CN"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uiPriority w:val="99"/>
    <w:rsid w:val="002169D4"/>
    <w:rPr>
      <w:color w:val="404040"/>
      <w:szCs w:val="20"/>
      <w:lang w:eastAsia="zh-CN"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uiPriority w:val="99"/>
    <w:rsid w:val="002169D4"/>
    <w:rPr>
      <w:color w:val="404040"/>
      <w:szCs w:val="20"/>
      <w:lang w:eastAsia="zh-CN"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uiPriority w:val="99"/>
    <w:rsid w:val="002169D4"/>
    <w:rPr>
      <w:color w:val="404040"/>
      <w:szCs w:val="20"/>
      <w:lang w:eastAsia="zh-CN"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uiPriority w:val="99"/>
    <w:rsid w:val="002169D4"/>
    <w:rPr>
      <w:color w:val="404040"/>
      <w:szCs w:val="20"/>
      <w:lang w:eastAsia="zh-CN"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uiPriority w:val="99"/>
    <w:rsid w:val="002169D4"/>
    <w:rPr>
      <w:color w:val="404040"/>
      <w:szCs w:val="20"/>
      <w:lang w:eastAsia="zh-CN"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uiPriority w:val="99"/>
    <w:rsid w:val="002169D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uiPriority w:val="99"/>
    <w:rsid w:val="002169D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uiPriority w:val="99"/>
    <w:rsid w:val="002169D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uiPriority w:val="99"/>
    <w:rsid w:val="002169D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uiPriority w:val="99"/>
    <w:rsid w:val="002169D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uiPriority w:val="99"/>
    <w:rsid w:val="002169D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uiPriority w:val="99"/>
    <w:rsid w:val="002169D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a">
    <w:name w:val="Hyperlink"/>
    <w:rsid w:val="002169D4"/>
    <w:rPr>
      <w:color w:val="0000FF"/>
      <w:u w:val="single"/>
    </w:rPr>
  </w:style>
  <w:style w:type="paragraph" w:styleId="ab">
    <w:name w:val="footnote text"/>
    <w:link w:val="Char3"/>
    <w:uiPriority w:val="99"/>
    <w:semiHidden/>
    <w:unhideWhenUsed/>
    <w:rsid w:val="002169D4"/>
    <w:pPr>
      <w:spacing w:after="40"/>
    </w:pPr>
    <w:rPr>
      <w:sz w:val="18"/>
    </w:rPr>
  </w:style>
  <w:style w:type="character" w:customStyle="1" w:styleId="Char3">
    <w:name w:val="脚注文本 Char"/>
    <w:link w:val="ab"/>
    <w:uiPriority w:val="99"/>
    <w:rsid w:val="002169D4"/>
    <w:rPr>
      <w:sz w:val="18"/>
    </w:rPr>
  </w:style>
  <w:style w:type="character" w:styleId="ac">
    <w:name w:val="footnote reference"/>
    <w:uiPriority w:val="99"/>
    <w:unhideWhenUsed/>
    <w:rsid w:val="002169D4"/>
    <w:rPr>
      <w:vertAlign w:val="superscript"/>
    </w:rPr>
  </w:style>
  <w:style w:type="paragraph" w:styleId="13">
    <w:name w:val="toc 1"/>
    <w:basedOn w:val="a"/>
    <w:next w:val="a"/>
    <w:semiHidden/>
    <w:rsid w:val="002169D4"/>
    <w:pPr>
      <w:tabs>
        <w:tab w:val="right" w:leader="dot" w:pos="8455"/>
      </w:tabs>
      <w:spacing w:before="120" w:line="360" w:lineRule="auto"/>
      <w:ind w:firstLine="425"/>
    </w:pPr>
    <w:rPr>
      <w:b/>
      <w:caps/>
      <w:szCs w:val="20"/>
    </w:rPr>
  </w:style>
  <w:style w:type="paragraph" w:styleId="20">
    <w:name w:val="toc 2"/>
    <w:basedOn w:val="a"/>
    <w:next w:val="a"/>
    <w:semiHidden/>
    <w:rsid w:val="002169D4"/>
    <w:pPr>
      <w:ind w:left="200"/>
    </w:pPr>
  </w:style>
  <w:style w:type="paragraph" w:styleId="3">
    <w:name w:val="toc 3"/>
    <w:basedOn w:val="a"/>
    <w:next w:val="a"/>
    <w:semiHidden/>
    <w:rsid w:val="002169D4"/>
    <w:pPr>
      <w:ind w:left="400"/>
    </w:pPr>
  </w:style>
  <w:style w:type="paragraph" w:styleId="4">
    <w:name w:val="toc 4"/>
    <w:basedOn w:val="a"/>
    <w:next w:val="a"/>
    <w:semiHidden/>
    <w:rsid w:val="002169D4"/>
    <w:pPr>
      <w:ind w:left="600"/>
    </w:pPr>
  </w:style>
  <w:style w:type="paragraph" w:styleId="5">
    <w:name w:val="toc 5"/>
    <w:basedOn w:val="a"/>
    <w:next w:val="a"/>
    <w:semiHidden/>
    <w:rsid w:val="002169D4"/>
    <w:pPr>
      <w:ind w:left="800"/>
    </w:pPr>
  </w:style>
  <w:style w:type="paragraph" w:styleId="6">
    <w:name w:val="toc 6"/>
    <w:basedOn w:val="a"/>
    <w:next w:val="a"/>
    <w:semiHidden/>
    <w:rsid w:val="002169D4"/>
    <w:pPr>
      <w:ind w:left="1000"/>
    </w:pPr>
  </w:style>
  <w:style w:type="paragraph" w:styleId="7">
    <w:name w:val="toc 7"/>
    <w:basedOn w:val="a"/>
    <w:next w:val="a"/>
    <w:semiHidden/>
    <w:rsid w:val="002169D4"/>
    <w:pPr>
      <w:ind w:left="1200"/>
    </w:pPr>
  </w:style>
  <w:style w:type="paragraph" w:styleId="8">
    <w:name w:val="toc 8"/>
    <w:basedOn w:val="a"/>
    <w:next w:val="a"/>
    <w:semiHidden/>
    <w:rsid w:val="002169D4"/>
    <w:pPr>
      <w:ind w:left="1400"/>
    </w:pPr>
  </w:style>
  <w:style w:type="paragraph" w:styleId="9">
    <w:name w:val="toc 9"/>
    <w:basedOn w:val="a"/>
    <w:next w:val="a"/>
    <w:semiHidden/>
    <w:rsid w:val="002169D4"/>
    <w:pPr>
      <w:ind w:left="1600"/>
    </w:pPr>
  </w:style>
  <w:style w:type="paragraph" w:styleId="TOC">
    <w:name w:val="TOC Heading"/>
    <w:uiPriority w:val="39"/>
    <w:unhideWhenUsed/>
    <w:rsid w:val="002169D4"/>
  </w:style>
  <w:style w:type="character" w:customStyle="1" w:styleId="1Char">
    <w:name w:val="标题 1 Char"/>
    <w:link w:val="1"/>
    <w:rsid w:val="002169D4"/>
    <w:rPr>
      <w:b/>
      <w:bCs/>
      <w:sz w:val="44"/>
      <w:szCs w:val="44"/>
    </w:rPr>
  </w:style>
  <w:style w:type="character" w:customStyle="1" w:styleId="2Char">
    <w:name w:val="标题 2 Char"/>
    <w:link w:val="2"/>
    <w:semiHidden/>
    <w:rsid w:val="002169D4"/>
    <w:rPr>
      <w:rFonts w:ascii="Cambria" w:eastAsia="宋体" w:hAnsi="Cambria"/>
      <w:b/>
      <w:bCs/>
      <w:sz w:val="32"/>
      <w:szCs w:val="32"/>
    </w:rPr>
  </w:style>
  <w:style w:type="paragraph" w:styleId="ad">
    <w:name w:val="header"/>
    <w:basedOn w:val="a"/>
    <w:link w:val="Char4"/>
    <w:rsid w:val="002169D4"/>
    <w:pPr>
      <w:pBdr>
        <w:bottom w:val="single" w:sz="6" w:space="1" w:color="000000"/>
      </w:pBdr>
      <w:tabs>
        <w:tab w:val="center" w:pos="4153"/>
        <w:tab w:val="right" w:pos="8306"/>
      </w:tabs>
      <w:jc w:val="center"/>
    </w:pPr>
    <w:rPr>
      <w:sz w:val="18"/>
      <w:szCs w:val="18"/>
    </w:rPr>
  </w:style>
  <w:style w:type="character" w:customStyle="1" w:styleId="Char4">
    <w:name w:val="页眉 Char"/>
    <w:link w:val="ad"/>
    <w:semiHidden/>
    <w:rsid w:val="002169D4"/>
    <w:rPr>
      <w:sz w:val="18"/>
      <w:szCs w:val="18"/>
    </w:rPr>
  </w:style>
  <w:style w:type="paragraph" w:styleId="ae">
    <w:name w:val="footer"/>
    <w:basedOn w:val="a"/>
    <w:link w:val="Char5"/>
    <w:rsid w:val="002169D4"/>
    <w:pPr>
      <w:tabs>
        <w:tab w:val="center" w:pos="4153"/>
        <w:tab w:val="right" w:pos="8306"/>
      </w:tabs>
    </w:pPr>
    <w:rPr>
      <w:sz w:val="18"/>
      <w:szCs w:val="18"/>
    </w:rPr>
  </w:style>
  <w:style w:type="character" w:customStyle="1" w:styleId="Char5">
    <w:name w:val="页脚 Char"/>
    <w:link w:val="ae"/>
    <w:semiHidden/>
    <w:rsid w:val="002169D4"/>
    <w:rPr>
      <w:sz w:val="18"/>
      <w:szCs w:val="18"/>
    </w:rPr>
  </w:style>
  <w:style w:type="character" w:styleId="af">
    <w:name w:val="page number"/>
    <w:rsid w:val="002169D4"/>
  </w:style>
  <w:style w:type="paragraph" w:styleId="af0">
    <w:name w:val="Body Text Indent"/>
    <w:basedOn w:val="a"/>
    <w:link w:val="Char6"/>
    <w:rsid w:val="002169D4"/>
    <w:pPr>
      <w:spacing w:line="360" w:lineRule="auto"/>
      <w:ind w:firstLine="420"/>
    </w:pPr>
    <w:rPr>
      <w:szCs w:val="20"/>
    </w:rPr>
  </w:style>
  <w:style w:type="character" w:customStyle="1" w:styleId="Char6">
    <w:name w:val="正文文本缩进 Char"/>
    <w:link w:val="af0"/>
    <w:rsid w:val="002169D4"/>
    <w:rPr>
      <w:sz w:val="24"/>
      <w:szCs w:val="24"/>
    </w:rPr>
  </w:style>
  <w:style w:type="paragraph" w:customStyle="1" w:styleId="af1">
    <w:name w:val="正文所"/>
    <w:basedOn w:val="a"/>
    <w:rsid w:val="002169D4"/>
    <w:pPr>
      <w:spacing w:line="360" w:lineRule="auto"/>
      <w:ind w:firstLine="420"/>
    </w:pPr>
  </w:style>
  <w:style w:type="paragraph" w:customStyle="1" w:styleId="2025025">
    <w:name w:val="样式 首行缩进:  2 字符 段前: 0.25 行 段后: 0.25 行"/>
    <w:basedOn w:val="a"/>
    <w:rsid w:val="002169D4"/>
    <w:pPr>
      <w:spacing w:line="300" w:lineRule="auto"/>
      <w:ind w:firstLine="200"/>
    </w:pPr>
    <w:rPr>
      <w:szCs w:val="21"/>
    </w:rPr>
  </w:style>
  <w:style w:type="paragraph" w:customStyle="1" w:styleId="Default">
    <w:name w:val="Default"/>
    <w:rsid w:val="002169D4"/>
    <w:pPr>
      <w:widowControl w:val="0"/>
    </w:pPr>
    <w:rPr>
      <w:rFonts w:ascii="宋体"/>
      <w:color w:val="000000"/>
      <w:sz w:val="24"/>
      <w:szCs w:val="24"/>
      <w:lang w:eastAsia="zh-CN" w:bidi="ar-SA"/>
    </w:rPr>
  </w:style>
  <w:style w:type="paragraph" w:styleId="af2">
    <w:name w:val="Balloon Text"/>
    <w:basedOn w:val="a"/>
    <w:link w:val="Char7"/>
    <w:semiHidden/>
    <w:rsid w:val="002169D4"/>
    <w:rPr>
      <w:sz w:val="18"/>
      <w:szCs w:val="18"/>
    </w:rPr>
  </w:style>
  <w:style w:type="character" w:customStyle="1" w:styleId="Char7">
    <w:name w:val="批注框文本 Char"/>
    <w:link w:val="af2"/>
    <w:semiHidden/>
    <w:rsid w:val="002169D4"/>
    <w:rPr>
      <w:sz w:val="2"/>
    </w:rPr>
  </w:style>
  <w:style w:type="paragraph" w:customStyle="1" w:styleId="ParaChar">
    <w:name w:val="默认段落字体 Para Char"/>
    <w:basedOn w:val="a"/>
    <w:rsid w:val="002169D4"/>
  </w:style>
  <w:style w:type="paragraph" w:styleId="af3">
    <w:name w:val="Document Map"/>
    <w:basedOn w:val="a"/>
    <w:link w:val="Char8"/>
    <w:semiHidden/>
    <w:rsid w:val="002169D4"/>
    <w:pPr>
      <w:shd w:val="clear" w:color="auto" w:fill="000080"/>
    </w:pPr>
  </w:style>
  <w:style w:type="character" w:customStyle="1" w:styleId="Char8">
    <w:name w:val="文档结构图 Char"/>
    <w:link w:val="af3"/>
    <w:semiHidden/>
    <w:rsid w:val="002169D4"/>
    <w:rPr>
      <w:sz w:val="2"/>
    </w:rPr>
  </w:style>
  <w:style w:type="character" w:styleId="af4">
    <w:name w:val="annotation reference"/>
    <w:uiPriority w:val="99"/>
    <w:semiHidden/>
    <w:rsid w:val="002169D4"/>
    <w:rPr>
      <w:sz w:val="21"/>
    </w:rPr>
  </w:style>
  <w:style w:type="paragraph" w:styleId="af5">
    <w:name w:val="annotation text"/>
    <w:basedOn w:val="a"/>
    <w:link w:val="Char9"/>
    <w:uiPriority w:val="99"/>
    <w:semiHidden/>
    <w:rsid w:val="002169D4"/>
  </w:style>
  <w:style w:type="character" w:customStyle="1" w:styleId="Char9">
    <w:name w:val="批注文字 Char"/>
    <w:link w:val="af5"/>
    <w:uiPriority w:val="99"/>
    <w:semiHidden/>
    <w:rsid w:val="002169D4"/>
    <w:rPr>
      <w:sz w:val="24"/>
      <w:szCs w:val="24"/>
    </w:rPr>
  </w:style>
  <w:style w:type="paragraph" w:styleId="af6">
    <w:name w:val="annotation subject"/>
    <w:basedOn w:val="af5"/>
    <w:next w:val="af5"/>
    <w:link w:val="Chara"/>
    <w:semiHidden/>
    <w:rsid w:val="002169D4"/>
    <w:rPr>
      <w:b/>
      <w:bCs/>
    </w:rPr>
  </w:style>
  <w:style w:type="character" w:customStyle="1" w:styleId="Chara">
    <w:name w:val="批注主题 Char"/>
    <w:link w:val="af6"/>
    <w:semiHidden/>
    <w:rsid w:val="002169D4"/>
    <w:rPr>
      <w:b/>
      <w:bCs/>
      <w:sz w:val="24"/>
      <w:szCs w:val="24"/>
    </w:rPr>
  </w:style>
  <w:style w:type="paragraph" w:customStyle="1" w:styleId="Charb">
    <w:name w:val="Char"/>
    <w:basedOn w:val="a"/>
    <w:rsid w:val="002169D4"/>
  </w:style>
  <w:style w:type="paragraph" w:styleId="22">
    <w:name w:val="Body Text Indent 2"/>
    <w:basedOn w:val="a"/>
    <w:link w:val="2Char0"/>
    <w:rsid w:val="002169D4"/>
    <w:pPr>
      <w:tabs>
        <w:tab w:val="num" w:pos="1260"/>
      </w:tabs>
      <w:spacing w:line="360" w:lineRule="auto"/>
      <w:ind w:firstLine="200"/>
    </w:pPr>
    <w:rPr>
      <w:rFonts w:ascii="宋体" w:hAnsi="宋体"/>
      <w:sz w:val="24"/>
    </w:rPr>
  </w:style>
  <w:style w:type="character" w:customStyle="1" w:styleId="2Char0">
    <w:name w:val="正文文本缩进 2 Char"/>
    <w:link w:val="22"/>
    <w:semiHidden/>
    <w:rsid w:val="002169D4"/>
    <w:rPr>
      <w:sz w:val="24"/>
      <w:szCs w:val="24"/>
    </w:rPr>
  </w:style>
  <w:style w:type="paragraph" w:styleId="af7">
    <w:name w:val="Body Text"/>
    <w:basedOn w:val="a"/>
    <w:link w:val="Charc"/>
    <w:rsid w:val="002169D4"/>
    <w:pPr>
      <w:tabs>
        <w:tab w:val="left" w:pos="3780"/>
      </w:tabs>
      <w:spacing w:line="360" w:lineRule="auto"/>
      <w:outlineLvl w:val="0"/>
    </w:pPr>
    <w:rPr>
      <w:rFonts w:ascii="宋体" w:hAnsi="宋体"/>
      <w:b/>
      <w:bCs/>
      <w:color w:val="FF0000"/>
      <w:sz w:val="24"/>
    </w:rPr>
  </w:style>
  <w:style w:type="character" w:customStyle="1" w:styleId="Charc">
    <w:name w:val="正文文本 Char"/>
    <w:link w:val="af7"/>
    <w:semiHidden/>
    <w:rsid w:val="002169D4"/>
    <w:rPr>
      <w:sz w:val="24"/>
      <w:szCs w:val="24"/>
    </w:rPr>
  </w:style>
  <w:style w:type="paragraph" w:styleId="23">
    <w:name w:val="Body Text 2"/>
    <w:basedOn w:val="a"/>
    <w:link w:val="2Char1"/>
    <w:rsid w:val="002169D4"/>
    <w:pPr>
      <w:tabs>
        <w:tab w:val="left" w:pos="3780"/>
      </w:tabs>
      <w:spacing w:line="300" w:lineRule="auto"/>
      <w:outlineLvl w:val="0"/>
    </w:pPr>
    <w:rPr>
      <w:rFonts w:ascii="宋体" w:hAnsi="宋体"/>
      <w:b/>
      <w:bCs/>
      <w:sz w:val="24"/>
    </w:rPr>
  </w:style>
  <w:style w:type="character" w:customStyle="1" w:styleId="2Char1">
    <w:name w:val="正文文本 2 Char"/>
    <w:link w:val="23"/>
    <w:semiHidden/>
    <w:rsid w:val="002169D4"/>
    <w:rPr>
      <w:sz w:val="24"/>
      <w:szCs w:val="24"/>
    </w:rPr>
  </w:style>
  <w:style w:type="paragraph" w:customStyle="1" w:styleId="UCAlpha2">
    <w:name w:val="UCAlpha 2"/>
    <w:basedOn w:val="a"/>
    <w:rsid w:val="002169D4"/>
    <w:pPr>
      <w:numPr>
        <w:numId w:val="16"/>
      </w:numPr>
      <w:spacing w:after="140" w:line="290" w:lineRule="auto"/>
    </w:pPr>
    <w:rPr>
      <w:rFonts w:ascii="Arial" w:hAnsi="Arial"/>
      <w:lang w:val="en-GB"/>
    </w:rPr>
  </w:style>
  <w:style w:type="paragraph" w:customStyle="1" w:styleId="af8">
    <w:name w:val="合同正文"/>
    <w:basedOn w:val="a"/>
    <w:link w:val="Chard"/>
    <w:rsid w:val="002169D4"/>
    <w:pPr>
      <w:spacing w:line="360" w:lineRule="auto"/>
      <w:ind w:firstLine="200"/>
    </w:pPr>
    <w:rPr>
      <w:bCs/>
      <w:sz w:val="24"/>
      <w:szCs w:val="20"/>
    </w:rPr>
  </w:style>
  <w:style w:type="character" w:customStyle="1" w:styleId="Chard">
    <w:name w:val="合同正文 Char"/>
    <w:link w:val="af8"/>
    <w:rsid w:val="002169D4"/>
    <w:rPr>
      <w:bCs/>
      <w:sz w:val="24"/>
      <w:szCs w:val="20"/>
    </w:rPr>
  </w:style>
  <w:style w:type="paragraph" w:styleId="af9">
    <w:name w:val="Revision"/>
    <w:hidden/>
    <w:semiHidden/>
    <w:rsid w:val="002169D4"/>
    <w:rPr>
      <w:sz w:val="21"/>
      <w:szCs w:val="24"/>
      <w:lang w:eastAsia="zh-CN" w:bidi="ar-SA"/>
    </w:rPr>
  </w:style>
  <w:style w:type="paragraph" w:customStyle="1" w:styleId="CharChar">
    <w:name w:val="Char Char"/>
    <w:basedOn w:val="a"/>
    <w:rsid w:val="002169D4"/>
    <w:rPr>
      <w:szCs w:val="20"/>
    </w:rPr>
  </w:style>
  <w:style w:type="character" w:customStyle="1" w:styleId="read">
    <w:name w:val="read"/>
    <w:basedOn w:val="a0"/>
    <w:rsid w:val="0021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4377</Words>
  <Characters>24954</Characters>
  <Application>Microsoft Office Word</Application>
  <DocSecurity>0</DocSecurity>
  <Lines>207</Lines>
  <Paragraphs>58</Paragraphs>
  <ScaleCrop>false</ScaleCrop>
  <Company>BOCOM</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liuhm0107</dc:creator>
  <cp:lastModifiedBy>刘鸿民</cp:lastModifiedBy>
  <cp:revision>2</cp:revision>
  <dcterms:created xsi:type="dcterms:W3CDTF">2021-03-11T03:17:00Z</dcterms:created>
  <dcterms:modified xsi:type="dcterms:W3CDTF">2021-03-11T03:17:00Z</dcterms:modified>
</cp:coreProperties>
</file>