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8E22" w14:textId="77777777" w:rsidR="004F5B35" w:rsidRDefault="004F5B35">
      <w:pPr>
        <w:spacing w:line="500" w:lineRule="exact"/>
        <w:jc w:val="center"/>
        <w:rPr>
          <w:rFonts w:ascii="宋体"/>
          <w:b/>
          <w:bCs/>
          <w:sz w:val="48"/>
          <w:szCs w:val="48"/>
        </w:rPr>
      </w:pPr>
    </w:p>
    <w:p w14:paraId="642579F4" w14:textId="77777777" w:rsidR="004F5B35" w:rsidRDefault="004F5B35">
      <w:pPr>
        <w:spacing w:line="500" w:lineRule="exact"/>
        <w:jc w:val="center"/>
        <w:rPr>
          <w:rFonts w:ascii="宋体"/>
          <w:b/>
          <w:bCs/>
          <w:sz w:val="48"/>
          <w:szCs w:val="48"/>
        </w:rPr>
      </w:pPr>
    </w:p>
    <w:p w14:paraId="0CC46A0C" w14:textId="77777777" w:rsidR="004F5B35" w:rsidRDefault="004F5B35">
      <w:pPr>
        <w:spacing w:line="500" w:lineRule="exact"/>
        <w:jc w:val="center"/>
        <w:rPr>
          <w:rFonts w:ascii="宋体"/>
          <w:b/>
          <w:bCs/>
          <w:sz w:val="48"/>
          <w:szCs w:val="48"/>
        </w:rPr>
      </w:pPr>
    </w:p>
    <w:p w14:paraId="6625111E" w14:textId="77777777" w:rsidR="004F5B35" w:rsidRDefault="004F5B35">
      <w:pPr>
        <w:spacing w:line="500" w:lineRule="exact"/>
        <w:jc w:val="center"/>
        <w:rPr>
          <w:rFonts w:ascii="宋体"/>
          <w:b/>
          <w:bCs/>
          <w:sz w:val="48"/>
          <w:szCs w:val="48"/>
        </w:rPr>
      </w:pPr>
    </w:p>
    <w:p w14:paraId="370EA608" w14:textId="77777777" w:rsidR="004F5B35" w:rsidRDefault="004F5B35">
      <w:pPr>
        <w:spacing w:line="500" w:lineRule="exact"/>
        <w:jc w:val="center"/>
        <w:rPr>
          <w:rFonts w:ascii="宋体"/>
          <w:b/>
          <w:bCs/>
          <w:sz w:val="48"/>
          <w:szCs w:val="48"/>
        </w:rPr>
      </w:pPr>
    </w:p>
    <w:p w14:paraId="48045D98" w14:textId="110AA6E9" w:rsidR="004F5B35" w:rsidRPr="00ED15FF" w:rsidRDefault="008C7F89">
      <w:pPr>
        <w:spacing w:line="500" w:lineRule="exact"/>
        <w:jc w:val="center"/>
        <w:rPr>
          <w:rFonts w:ascii="宋体"/>
          <w:b/>
          <w:bCs/>
          <w:sz w:val="48"/>
          <w:szCs w:val="48"/>
        </w:rPr>
      </w:pPr>
      <w:r w:rsidRPr="00ED15FF">
        <w:rPr>
          <w:rFonts w:ascii="宋体" w:hAnsi="宋体" w:hint="eastAsia"/>
          <w:b/>
          <w:bCs/>
          <w:sz w:val="48"/>
          <w:szCs w:val="48"/>
        </w:rPr>
        <w:t>平安策略回报混合型证券投资基金</w:t>
      </w:r>
    </w:p>
    <w:p w14:paraId="6A875E24" w14:textId="77777777" w:rsidR="004F5B35" w:rsidRPr="00ED15FF" w:rsidRDefault="004F5B35">
      <w:pPr>
        <w:spacing w:line="500" w:lineRule="exact"/>
        <w:jc w:val="center"/>
        <w:rPr>
          <w:rFonts w:ascii="宋体"/>
          <w:b/>
          <w:bCs/>
          <w:sz w:val="48"/>
          <w:szCs w:val="48"/>
        </w:rPr>
      </w:pPr>
    </w:p>
    <w:p w14:paraId="663387AF" w14:textId="77777777" w:rsidR="004F5B35" w:rsidRPr="00ED15FF" w:rsidRDefault="008C7F89">
      <w:pPr>
        <w:spacing w:line="500" w:lineRule="exact"/>
        <w:jc w:val="center"/>
        <w:rPr>
          <w:rFonts w:ascii="宋体"/>
          <w:b/>
          <w:bCs/>
          <w:sz w:val="44"/>
        </w:rPr>
      </w:pPr>
      <w:r w:rsidRPr="00ED15FF">
        <w:rPr>
          <w:rFonts w:ascii="宋体" w:hAnsi="宋体" w:hint="eastAsia"/>
          <w:b/>
          <w:bCs/>
          <w:sz w:val="44"/>
        </w:rPr>
        <w:t>托管协议</w:t>
      </w:r>
    </w:p>
    <w:p w14:paraId="61E92109" w14:textId="77777777" w:rsidR="004F5B35" w:rsidRPr="00ED15FF" w:rsidRDefault="004F5B35">
      <w:pPr>
        <w:spacing w:line="360" w:lineRule="auto"/>
        <w:ind w:left="4709" w:right="25" w:hanging="4709"/>
        <w:jc w:val="center"/>
        <w:rPr>
          <w:rFonts w:ascii="宋体"/>
          <w:b/>
          <w:bCs/>
          <w:sz w:val="44"/>
        </w:rPr>
      </w:pPr>
    </w:p>
    <w:p w14:paraId="47A535A7" w14:textId="77777777" w:rsidR="004F5B35" w:rsidRPr="00ED15FF" w:rsidRDefault="004F5B35">
      <w:pPr>
        <w:spacing w:line="360" w:lineRule="auto"/>
        <w:jc w:val="center"/>
        <w:rPr>
          <w:rFonts w:ascii="宋体"/>
          <w:b/>
          <w:sz w:val="30"/>
          <w:szCs w:val="30"/>
        </w:rPr>
      </w:pPr>
    </w:p>
    <w:p w14:paraId="28082A46" w14:textId="77777777" w:rsidR="004F5B35" w:rsidRPr="00ED15FF" w:rsidRDefault="004F5B35">
      <w:pPr>
        <w:spacing w:line="360" w:lineRule="auto"/>
        <w:jc w:val="center"/>
        <w:rPr>
          <w:rFonts w:ascii="宋体"/>
          <w:b/>
          <w:sz w:val="30"/>
          <w:szCs w:val="30"/>
        </w:rPr>
      </w:pPr>
    </w:p>
    <w:p w14:paraId="5C4A9AC4" w14:textId="77777777" w:rsidR="004F5B35" w:rsidRPr="00ED15FF" w:rsidRDefault="004F5B35">
      <w:pPr>
        <w:spacing w:line="360" w:lineRule="auto"/>
        <w:jc w:val="center"/>
        <w:rPr>
          <w:rFonts w:ascii="宋体"/>
          <w:b/>
          <w:sz w:val="30"/>
          <w:szCs w:val="30"/>
        </w:rPr>
      </w:pPr>
    </w:p>
    <w:p w14:paraId="35203B27" w14:textId="77777777" w:rsidR="004F5B35" w:rsidRPr="00ED15FF" w:rsidRDefault="004F5B35">
      <w:pPr>
        <w:spacing w:line="360" w:lineRule="auto"/>
        <w:jc w:val="center"/>
        <w:rPr>
          <w:rFonts w:ascii="宋体"/>
          <w:b/>
          <w:sz w:val="30"/>
          <w:szCs w:val="30"/>
        </w:rPr>
      </w:pPr>
    </w:p>
    <w:p w14:paraId="308A1ADD" w14:textId="77777777" w:rsidR="004F5B35" w:rsidRPr="00ED15FF" w:rsidRDefault="004F5B35">
      <w:pPr>
        <w:spacing w:line="360" w:lineRule="auto"/>
        <w:jc w:val="center"/>
        <w:rPr>
          <w:rFonts w:ascii="宋体"/>
          <w:b/>
          <w:sz w:val="30"/>
          <w:szCs w:val="30"/>
        </w:rPr>
      </w:pPr>
    </w:p>
    <w:p w14:paraId="3D356601" w14:textId="77777777" w:rsidR="004F5B35" w:rsidRPr="00ED15FF" w:rsidRDefault="004F5B35">
      <w:pPr>
        <w:spacing w:line="360" w:lineRule="auto"/>
        <w:jc w:val="center"/>
        <w:rPr>
          <w:rFonts w:ascii="宋体"/>
          <w:b/>
          <w:sz w:val="30"/>
          <w:szCs w:val="30"/>
        </w:rPr>
      </w:pPr>
    </w:p>
    <w:p w14:paraId="44970669" w14:textId="77777777" w:rsidR="004F5B35" w:rsidRPr="00ED15FF" w:rsidRDefault="004F5B35">
      <w:pPr>
        <w:spacing w:line="360" w:lineRule="auto"/>
        <w:rPr>
          <w:rFonts w:ascii="宋体"/>
          <w:b/>
          <w:sz w:val="30"/>
          <w:szCs w:val="30"/>
        </w:rPr>
      </w:pPr>
    </w:p>
    <w:p w14:paraId="70DDC002" w14:textId="77777777" w:rsidR="004F5B35" w:rsidRPr="00ED15FF" w:rsidRDefault="008C7F89">
      <w:pPr>
        <w:spacing w:line="500" w:lineRule="exact"/>
        <w:ind w:left="1079"/>
        <w:rPr>
          <w:rFonts w:ascii="宋体"/>
          <w:b/>
          <w:bCs/>
          <w:sz w:val="36"/>
          <w:szCs w:val="36"/>
        </w:rPr>
      </w:pPr>
      <w:r w:rsidRPr="00ED15FF">
        <w:rPr>
          <w:rFonts w:ascii="宋体" w:hAnsi="宋体" w:hint="eastAsia"/>
          <w:b/>
          <w:bCs/>
          <w:sz w:val="36"/>
          <w:szCs w:val="36"/>
        </w:rPr>
        <w:t>基金管理人：平安基金管理有限公司</w:t>
      </w:r>
    </w:p>
    <w:p w14:paraId="061C1314" w14:textId="77777777" w:rsidR="004F5B35" w:rsidRPr="00ED15FF" w:rsidRDefault="008C7F89">
      <w:pPr>
        <w:ind w:left="1079"/>
        <w:rPr>
          <w:rFonts w:ascii="宋体"/>
        </w:rPr>
      </w:pPr>
      <w:r w:rsidRPr="00ED15FF">
        <w:rPr>
          <w:rFonts w:ascii="宋体" w:hAnsi="宋体" w:hint="eastAsia"/>
          <w:b/>
          <w:bCs/>
          <w:sz w:val="36"/>
          <w:szCs w:val="36"/>
        </w:rPr>
        <w:t>基金托管人：交通银行股份有限公司</w:t>
      </w:r>
    </w:p>
    <w:p w14:paraId="7E148D99" w14:textId="77777777" w:rsidR="004F5B35" w:rsidRPr="00ED15FF" w:rsidRDefault="004F5B35">
      <w:pPr>
        <w:ind w:left="1079"/>
        <w:sectPr w:rsidR="004F5B35" w:rsidRPr="00ED15FF">
          <w:headerReference w:type="default" r:id="rId8"/>
          <w:footerReference w:type="even" r:id="rId9"/>
          <w:footerReference w:type="first" r:id="rId10"/>
          <w:pgSz w:w="11906" w:h="16838"/>
          <w:pgMar w:top="1440" w:right="1800" w:bottom="1440" w:left="1800" w:header="851" w:footer="992" w:gutter="0"/>
          <w:pgNumType w:start="1"/>
          <w:cols w:space="425"/>
          <w:docGrid w:type="lines" w:linePitch="312"/>
        </w:sectPr>
      </w:pPr>
    </w:p>
    <w:p w14:paraId="758934A5" w14:textId="77777777" w:rsidR="004F5B35" w:rsidRPr="00ED15FF" w:rsidRDefault="008C7F89">
      <w:pPr>
        <w:spacing w:line="360" w:lineRule="auto"/>
        <w:jc w:val="center"/>
        <w:rPr>
          <w:rFonts w:ascii="宋体"/>
          <w:b/>
          <w:sz w:val="44"/>
          <w:szCs w:val="44"/>
        </w:rPr>
      </w:pPr>
      <w:r w:rsidRPr="00ED15FF">
        <w:rPr>
          <w:rFonts w:ascii="宋体" w:hAnsi="宋体" w:hint="eastAsia"/>
          <w:b/>
          <w:sz w:val="44"/>
          <w:szCs w:val="44"/>
        </w:rPr>
        <w:lastRenderedPageBreak/>
        <w:t>目</w:t>
      </w:r>
      <w:r w:rsidRPr="00ED15FF">
        <w:rPr>
          <w:rFonts w:ascii="宋体" w:hAnsi="宋体"/>
          <w:b/>
          <w:sz w:val="44"/>
          <w:szCs w:val="44"/>
        </w:rPr>
        <w:t xml:space="preserve">  </w:t>
      </w:r>
      <w:r w:rsidRPr="00ED15FF">
        <w:rPr>
          <w:rFonts w:ascii="宋体" w:hAnsi="宋体" w:hint="eastAsia"/>
          <w:b/>
          <w:sz w:val="44"/>
          <w:szCs w:val="44"/>
        </w:rPr>
        <w:t>录</w:t>
      </w:r>
    </w:p>
    <w:p w14:paraId="2BB586C5" w14:textId="5C86A5AD" w:rsidR="004F5B35" w:rsidRPr="00ED15FF" w:rsidRDefault="004F5B35">
      <w:pPr>
        <w:pStyle w:val="14"/>
        <w:rPr>
          <w:rFonts w:ascii="Calibri" w:hAnsi="Calibri" w:cs="Calibri"/>
          <w:b w:val="0"/>
          <w:caps w:val="0"/>
          <w:noProof/>
          <w:sz w:val="24"/>
          <w:szCs w:val="22"/>
        </w:rPr>
      </w:pPr>
      <w:r w:rsidRPr="00ED15FF">
        <w:rPr>
          <w:rStyle w:val="af5"/>
          <w:rFonts w:ascii="宋体" w:hAnsi="宋体"/>
          <w:bCs/>
          <w:color w:val="auto"/>
          <w:sz w:val="24"/>
          <w:szCs w:val="24"/>
        </w:rPr>
        <w:fldChar w:fldCharType="begin"/>
      </w:r>
      <w:r w:rsidR="008C7F89" w:rsidRPr="00ED15FF">
        <w:rPr>
          <w:rStyle w:val="af5"/>
          <w:rFonts w:ascii="宋体" w:hAnsi="宋体"/>
          <w:bCs/>
          <w:color w:val="auto"/>
          <w:sz w:val="24"/>
          <w:szCs w:val="24"/>
        </w:rPr>
        <w:instrText xml:space="preserve"> TOC \h \z \t "</w:instrText>
      </w:r>
      <w:r w:rsidR="008C7F89" w:rsidRPr="00ED15FF">
        <w:rPr>
          <w:rStyle w:val="af5"/>
          <w:rFonts w:ascii="宋体" w:hAnsi="宋体" w:hint="eastAsia"/>
          <w:bCs/>
          <w:color w:val="auto"/>
          <w:sz w:val="24"/>
          <w:szCs w:val="24"/>
        </w:rPr>
        <w:instrText>标题</w:instrText>
      </w:r>
      <w:r w:rsidR="008C7F89" w:rsidRPr="00ED15FF">
        <w:rPr>
          <w:rStyle w:val="af5"/>
          <w:rFonts w:ascii="宋体" w:hAnsi="宋体"/>
          <w:bCs/>
          <w:color w:val="auto"/>
          <w:sz w:val="24"/>
          <w:szCs w:val="24"/>
        </w:rPr>
        <w:instrText xml:space="preserve"> 1,1" </w:instrText>
      </w:r>
      <w:r w:rsidRPr="00ED15FF">
        <w:rPr>
          <w:rStyle w:val="af5"/>
          <w:rFonts w:ascii="宋体" w:hAnsi="宋体"/>
          <w:bCs/>
          <w:color w:val="auto"/>
          <w:sz w:val="24"/>
          <w:szCs w:val="24"/>
        </w:rPr>
        <w:fldChar w:fldCharType="separate"/>
      </w:r>
      <w:hyperlink w:anchor="_Toc516233741" w:tooltip="当前文档" w:history="1">
        <w:r w:rsidR="008C7F89" w:rsidRPr="00ED15FF">
          <w:rPr>
            <w:rStyle w:val="af5"/>
            <w:rFonts w:hint="eastAsia"/>
            <w:b w:val="0"/>
            <w:noProof/>
            <w:sz w:val="22"/>
          </w:rPr>
          <w:t>一、基金托管协议当事人</w:t>
        </w:r>
        <w:r w:rsidR="008C7F89" w:rsidRPr="00ED15FF">
          <w:rPr>
            <w:b w:val="0"/>
            <w:noProof/>
            <w:sz w:val="22"/>
          </w:rPr>
          <w:tab/>
        </w:r>
        <w:r w:rsidRPr="00ED15FF">
          <w:rPr>
            <w:b w:val="0"/>
            <w:noProof/>
            <w:sz w:val="22"/>
          </w:rPr>
          <w:fldChar w:fldCharType="begin"/>
        </w:r>
        <w:r w:rsidR="008C7F89" w:rsidRPr="00ED15FF">
          <w:rPr>
            <w:b w:val="0"/>
            <w:noProof/>
            <w:sz w:val="22"/>
          </w:rPr>
          <w:instrText xml:space="preserve"> PAGEREF _Toc516233741 \h </w:instrText>
        </w:r>
        <w:r w:rsidRPr="00ED15FF">
          <w:rPr>
            <w:b w:val="0"/>
            <w:noProof/>
            <w:sz w:val="22"/>
          </w:rPr>
        </w:r>
        <w:r w:rsidRPr="00ED15FF">
          <w:rPr>
            <w:b w:val="0"/>
            <w:noProof/>
            <w:sz w:val="22"/>
          </w:rPr>
          <w:fldChar w:fldCharType="separate"/>
        </w:r>
        <w:r w:rsidR="00610203">
          <w:rPr>
            <w:b w:val="0"/>
            <w:noProof/>
            <w:sz w:val="22"/>
          </w:rPr>
          <w:t>3</w:t>
        </w:r>
        <w:r w:rsidRPr="00ED15FF">
          <w:rPr>
            <w:b w:val="0"/>
            <w:noProof/>
            <w:sz w:val="22"/>
          </w:rPr>
          <w:fldChar w:fldCharType="end"/>
        </w:r>
      </w:hyperlink>
    </w:p>
    <w:p w14:paraId="6DFFEB89" w14:textId="2DFBB734" w:rsidR="004F5B35" w:rsidRPr="00ED15FF" w:rsidRDefault="00E644C9">
      <w:pPr>
        <w:pStyle w:val="14"/>
        <w:rPr>
          <w:rFonts w:ascii="Calibri" w:hAnsi="Calibri" w:cs="Calibri"/>
          <w:b w:val="0"/>
          <w:caps w:val="0"/>
          <w:noProof/>
          <w:sz w:val="24"/>
          <w:szCs w:val="22"/>
        </w:rPr>
      </w:pPr>
      <w:hyperlink w:anchor="_Toc516233742" w:tooltip="当前文档" w:history="1">
        <w:r w:rsidR="008C7F89" w:rsidRPr="00ED15FF">
          <w:rPr>
            <w:rStyle w:val="af5"/>
            <w:rFonts w:hint="eastAsia"/>
            <w:b w:val="0"/>
            <w:noProof/>
            <w:sz w:val="22"/>
          </w:rPr>
          <w:t>二、基金托管协议的依据、目的和原则</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_Toc516233742 \h </w:instrText>
        </w:r>
        <w:r w:rsidR="004F5B35" w:rsidRPr="00ED15FF">
          <w:rPr>
            <w:b w:val="0"/>
            <w:noProof/>
            <w:sz w:val="22"/>
          </w:rPr>
        </w:r>
        <w:r w:rsidR="004F5B35" w:rsidRPr="00ED15FF">
          <w:rPr>
            <w:b w:val="0"/>
            <w:noProof/>
            <w:sz w:val="22"/>
          </w:rPr>
          <w:fldChar w:fldCharType="separate"/>
        </w:r>
        <w:r w:rsidR="00610203">
          <w:rPr>
            <w:b w:val="0"/>
            <w:noProof/>
            <w:sz w:val="22"/>
          </w:rPr>
          <w:t>4</w:t>
        </w:r>
        <w:r w:rsidR="004F5B35" w:rsidRPr="00ED15FF">
          <w:rPr>
            <w:b w:val="0"/>
            <w:noProof/>
            <w:sz w:val="22"/>
          </w:rPr>
          <w:fldChar w:fldCharType="end"/>
        </w:r>
      </w:hyperlink>
    </w:p>
    <w:p w14:paraId="0DFBDAE9" w14:textId="76C793C4" w:rsidR="004F5B35" w:rsidRPr="00ED15FF" w:rsidRDefault="00E644C9">
      <w:pPr>
        <w:pStyle w:val="14"/>
        <w:rPr>
          <w:rFonts w:ascii="Calibri" w:hAnsi="Calibri" w:cs="Calibri"/>
          <w:b w:val="0"/>
          <w:caps w:val="0"/>
          <w:noProof/>
          <w:sz w:val="24"/>
          <w:szCs w:val="22"/>
        </w:rPr>
      </w:pPr>
      <w:hyperlink w:anchor="_Toc516233743" w:tooltip="当前文档" w:history="1">
        <w:r w:rsidR="008C7F89" w:rsidRPr="00ED15FF">
          <w:rPr>
            <w:rStyle w:val="af5"/>
            <w:rFonts w:hint="eastAsia"/>
            <w:b w:val="0"/>
            <w:noProof/>
            <w:sz w:val="22"/>
          </w:rPr>
          <w:t>三、基金托管人对基金管理人的业务监督和核查</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_Toc516233743 \h </w:instrText>
        </w:r>
        <w:r w:rsidR="004F5B35" w:rsidRPr="00ED15FF">
          <w:rPr>
            <w:b w:val="0"/>
            <w:noProof/>
            <w:sz w:val="22"/>
          </w:rPr>
        </w:r>
        <w:r w:rsidR="004F5B35" w:rsidRPr="00ED15FF">
          <w:rPr>
            <w:b w:val="0"/>
            <w:noProof/>
            <w:sz w:val="22"/>
          </w:rPr>
          <w:fldChar w:fldCharType="separate"/>
        </w:r>
        <w:r w:rsidR="00610203">
          <w:rPr>
            <w:b w:val="0"/>
            <w:noProof/>
            <w:sz w:val="22"/>
          </w:rPr>
          <w:t>4</w:t>
        </w:r>
        <w:r w:rsidR="004F5B35" w:rsidRPr="00ED15FF">
          <w:rPr>
            <w:b w:val="0"/>
            <w:noProof/>
            <w:sz w:val="22"/>
          </w:rPr>
          <w:fldChar w:fldCharType="end"/>
        </w:r>
      </w:hyperlink>
    </w:p>
    <w:p w14:paraId="1209E51A" w14:textId="07C678B5" w:rsidR="004F5B35" w:rsidRPr="00ED15FF" w:rsidRDefault="00E644C9">
      <w:pPr>
        <w:pStyle w:val="14"/>
        <w:rPr>
          <w:rFonts w:ascii="Calibri" w:hAnsi="Calibri" w:cs="Calibri"/>
          <w:b w:val="0"/>
          <w:caps w:val="0"/>
          <w:noProof/>
          <w:sz w:val="24"/>
          <w:szCs w:val="22"/>
        </w:rPr>
      </w:pPr>
      <w:hyperlink w:anchor="_Toc516233744" w:tooltip="当前文档" w:history="1">
        <w:r w:rsidR="008C7F89" w:rsidRPr="00ED15FF">
          <w:rPr>
            <w:rStyle w:val="af5"/>
            <w:rFonts w:hint="eastAsia"/>
            <w:b w:val="0"/>
            <w:noProof/>
            <w:sz w:val="22"/>
          </w:rPr>
          <w:t>四、基金管理人对基金托管人的业务核查</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_Toc516233744 \h </w:instrText>
        </w:r>
        <w:r w:rsidR="004F5B35" w:rsidRPr="00ED15FF">
          <w:rPr>
            <w:b w:val="0"/>
            <w:noProof/>
            <w:sz w:val="22"/>
          </w:rPr>
        </w:r>
        <w:r w:rsidR="004F5B35" w:rsidRPr="00ED15FF">
          <w:rPr>
            <w:b w:val="0"/>
            <w:noProof/>
            <w:sz w:val="22"/>
          </w:rPr>
          <w:fldChar w:fldCharType="separate"/>
        </w:r>
        <w:r w:rsidR="00610203">
          <w:rPr>
            <w:b w:val="0"/>
            <w:noProof/>
            <w:sz w:val="22"/>
          </w:rPr>
          <w:t>10</w:t>
        </w:r>
        <w:r w:rsidR="004F5B35" w:rsidRPr="00ED15FF">
          <w:rPr>
            <w:b w:val="0"/>
            <w:noProof/>
            <w:sz w:val="22"/>
          </w:rPr>
          <w:fldChar w:fldCharType="end"/>
        </w:r>
      </w:hyperlink>
    </w:p>
    <w:p w14:paraId="20A6E2B9" w14:textId="0D878E5F" w:rsidR="004F5B35" w:rsidRPr="00ED15FF" w:rsidRDefault="00E644C9">
      <w:pPr>
        <w:pStyle w:val="14"/>
        <w:rPr>
          <w:rFonts w:ascii="Calibri" w:hAnsi="Calibri" w:cs="Calibri"/>
          <w:b w:val="0"/>
          <w:caps w:val="0"/>
          <w:noProof/>
          <w:sz w:val="24"/>
          <w:szCs w:val="22"/>
        </w:rPr>
      </w:pPr>
      <w:hyperlink w:anchor="_Toc516233745" w:tooltip="当前文档" w:history="1">
        <w:r w:rsidR="008C7F89" w:rsidRPr="00ED15FF">
          <w:rPr>
            <w:rStyle w:val="af5"/>
            <w:rFonts w:hint="eastAsia"/>
            <w:b w:val="0"/>
            <w:noProof/>
            <w:sz w:val="22"/>
          </w:rPr>
          <w:t>五、基金财产的保管</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_Toc516233745 \h </w:instrText>
        </w:r>
        <w:r w:rsidR="004F5B35" w:rsidRPr="00ED15FF">
          <w:rPr>
            <w:b w:val="0"/>
            <w:noProof/>
            <w:sz w:val="22"/>
          </w:rPr>
        </w:r>
        <w:r w:rsidR="004F5B35" w:rsidRPr="00ED15FF">
          <w:rPr>
            <w:b w:val="0"/>
            <w:noProof/>
            <w:sz w:val="22"/>
          </w:rPr>
          <w:fldChar w:fldCharType="separate"/>
        </w:r>
        <w:r w:rsidR="00610203">
          <w:rPr>
            <w:b w:val="0"/>
            <w:noProof/>
            <w:sz w:val="22"/>
          </w:rPr>
          <w:t>11</w:t>
        </w:r>
        <w:r w:rsidR="004F5B35" w:rsidRPr="00ED15FF">
          <w:rPr>
            <w:b w:val="0"/>
            <w:noProof/>
            <w:sz w:val="22"/>
          </w:rPr>
          <w:fldChar w:fldCharType="end"/>
        </w:r>
      </w:hyperlink>
    </w:p>
    <w:p w14:paraId="3D54A99A" w14:textId="1C3DC41B" w:rsidR="004F5B35" w:rsidRPr="00ED15FF" w:rsidRDefault="00E644C9">
      <w:pPr>
        <w:pStyle w:val="14"/>
        <w:rPr>
          <w:rFonts w:ascii="Calibri" w:hAnsi="Calibri" w:cs="Calibri"/>
          <w:b w:val="0"/>
          <w:caps w:val="0"/>
          <w:noProof/>
          <w:sz w:val="24"/>
          <w:szCs w:val="22"/>
        </w:rPr>
      </w:pPr>
      <w:hyperlink w:anchor="_Toc516233746" w:tooltip="当前文档" w:history="1">
        <w:r w:rsidR="008C7F89" w:rsidRPr="00ED15FF">
          <w:rPr>
            <w:rStyle w:val="af5"/>
            <w:rFonts w:hint="eastAsia"/>
            <w:b w:val="0"/>
            <w:noProof/>
            <w:sz w:val="22"/>
          </w:rPr>
          <w:t>六、指令的发送、确认和执行</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_Toc516233746 \h </w:instrText>
        </w:r>
        <w:r w:rsidR="004F5B35" w:rsidRPr="00ED15FF">
          <w:rPr>
            <w:b w:val="0"/>
            <w:noProof/>
            <w:sz w:val="22"/>
          </w:rPr>
        </w:r>
        <w:r w:rsidR="004F5B35" w:rsidRPr="00ED15FF">
          <w:rPr>
            <w:b w:val="0"/>
            <w:noProof/>
            <w:sz w:val="22"/>
          </w:rPr>
          <w:fldChar w:fldCharType="separate"/>
        </w:r>
        <w:r w:rsidR="00610203">
          <w:rPr>
            <w:b w:val="0"/>
            <w:noProof/>
            <w:sz w:val="22"/>
          </w:rPr>
          <w:t>14</w:t>
        </w:r>
        <w:r w:rsidR="004F5B35" w:rsidRPr="00ED15FF">
          <w:rPr>
            <w:b w:val="0"/>
            <w:noProof/>
            <w:sz w:val="22"/>
          </w:rPr>
          <w:fldChar w:fldCharType="end"/>
        </w:r>
      </w:hyperlink>
    </w:p>
    <w:p w14:paraId="73FB3CFA" w14:textId="70D39101" w:rsidR="004F5B35" w:rsidRPr="00ED15FF" w:rsidRDefault="00E644C9">
      <w:pPr>
        <w:pStyle w:val="14"/>
        <w:rPr>
          <w:rFonts w:ascii="Calibri" w:hAnsi="Calibri" w:cs="Calibri"/>
          <w:b w:val="0"/>
          <w:caps w:val="0"/>
          <w:noProof/>
          <w:sz w:val="24"/>
          <w:szCs w:val="22"/>
        </w:rPr>
      </w:pPr>
      <w:hyperlink w:anchor="_Toc516233747" w:tooltip="当前文档" w:history="1">
        <w:r w:rsidR="008C7F89" w:rsidRPr="00ED15FF">
          <w:rPr>
            <w:rStyle w:val="af5"/>
            <w:rFonts w:hint="eastAsia"/>
            <w:b w:val="0"/>
            <w:noProof/>
            <w:sz w:val="22"/>
          </w:rPr>
          <w:t>七、交易及清算交收安排</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_Toc516233747 \h </w:instrText>
        </w:r>
        <w:r w:rsidR="004F5B35" w:rsidRPr="00ED15FF">
          <w:rPr>
            <w:b w:val="0"/>
            <w:noProof/>
            <w:sz w:val="22"/>
          </w:rPr>
        </w:r>
        <w:r w:rsidR="004F5B35" w:rsidRPr="00ED15FF">
          <w:rPr>
            <w:b w:val="0"/>
            <w:noProof/>
            <w:sz w:val="22"/>
          </w:rPr>
          <w:fldChar w:fldCharType="separate"/>
        </w:r>
        <w:r w:rsidR="00610203">
          <w:rPr>
            <w:b w:val="0"/>
            <w:noProof/>
            <w:sz w:val="22"/>
          </w:rPr>
          <w:t>16</w:t>
        </w:r>
        <w:r w:rsidR="004F5B35" w:rsidRPr="00ED15FF">
          <w:rPr>
            <w:b w:val="0"/>
            <w:noProof/>
            <w:sz w:val="22"/>
          </w:rPr>
          <w:fldChar w:fldCharType="end"/>
        </w:r>
      </w:hyperlink>
    </w:p>
    <w:p w14:paraId="085F4054" w14:textId="592499F1" w:rsidR="004F5B35" w:rsidRPr="00ED15FF" w:rsidRDefault="00E644C9">
      <w:pPr>
        <w:pStyle w:val="14"/>
        <w:rPr>
          <w:rFonts w:ascii="Calibri" w:hAnsi="Calibri" w:cs="Calibri"/>
          <w:b w:val="0"/>
          <w:caps w:val="0"/>
          <w:noProof/>
          <w:sz w:val="24"/>
          <w:szCs w:val="22"/>
        </w:rPr>
      </w:pPr>
      <w:hyperlink w:anchor="_Toc516233748" w:tooltip="当前文档" w:history="1">
        <w:r w:rsidR="008C7F89" w:rsidRPr="00ED15FF">
          <w:rPr>
            <w:rStyle w:val="af5"/>
            <w:rFonts w:hint="eastAsia"/>
            <w:b w:val="0"/>
            <w:noProof/>
            <w:sz w:val="22"/>
          </w:rPr>
          <w:t>八、基金资产净值计算和会计核算</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_Toc516233748 \h </w:instrText>
        </w:r>
        <w:r w:rsidR="004F5B35" w:rsidRPr="00ED15FF">
          <w:rPr>
            <w:b w:val="0"/>
            <w:noProof/>
            <w:sz w:val="22"/>
          </w:rPr>
        </w:r>
        <w:r w:rsidR="004F5B35" w:rsidRPr="00ED15FF">
          <w:rPr>
            <w:b w:val="0"/>
            <w:noProof/>
            <w:sz w:val="22"/>
          </w:rPr>
          <w:fldChar w:fldCharType="separate"/>
        </w:r>
        <w:r w:rsidR="00610203">
          <w:rPr>
            <w:b w:val="0"/>
            <w:noProof/>
            <w:sz w:val="22"/>
          </w:rPr>
          <w:t>19</w:t>
        </w:r>
        <w:r w:rsidR="004F5B35" w:rsidRPr="00ED15FF">
          <w:rPr>
            <w:b w:val="0"/>
            <w:noProof/>
            <w:sz w:val="22"/>
          </w:rPr>
          <w:fldChar w:fldCharType="end"/>
        </w:r>
      </w:hyperlink>
    </w:p>
    <w:p w14:paraId="49339395" w14:textId="6CF28AF6" w:rsidR="004F5B35" w:rsidRPr="00ED15FF" w:rsidRDefault="00E644C9">
      <w:pPr>
        <w:pStyle w:val="14"/>
        <w:rPr>
          <w:rFonts w:ascii="Calibri" w:hAnsi="Calibri" w:cs="Calibri"/>
          <w:b w:val="0"/>
          <w:caps w:val="0"/>
          <w:noProof/>
          <w:sz w:val="24"/>
          <w:szCs w:val="22"/>
        </w:rPr>
      </w:pPr>
      <w:hyperlink w:anchor="_Toc516233749" w:tooltip="当前文档" w:history="1">
        <w:r w:rsidR="008C7F89" w:rsidRPr="00ED15FF">
          <w:rPr>
            <w:rStyle w:val="af5"/>
            <w:rFonts w:hint="eastAsia"/>
            <w:b w:val="0"/>
            <w:noProof/>
            <w:sz w:val="22"/>
          </w:rPr>
          <w:t>九、基金收益分配</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_Toc516233749 \h </w:instrText>
        </w:r>
        <w:r w:rsidR="004F5B35" w:rsidRPr="00ED15FF">
          <w:rPr>
            <w:b w:val="0"/>
            <w:noProof/>
            <w:sz w:val="22"/>
          </w:rPr>
        </w:r>
        <w:r w:rsidR="004F5B35" w:rsidRPr="00ED15FF">
          <w:rPr>
            <w:b w:val="0"/>
            <w:noProof/>
            <w:sz w:val="22"/>
          </w:rPr>
          <w:fldChar w:fldCharType="separate"/>
        </w:r>
        <w:r w:rsidR="00610203">
          <w:rPr>
            <w:b w:val="0"/>
            <w:noProof/>
            <w:sz w:val="22"/>
          </w:rPr>
          <w:t>25</w:t>
        </w:r>
        <w:r w:rsidR="004F5B35" w:rsidRPr="00ED15FF">
          <w:rPr>
            <w:b w:val="0"/>
            <w:noProof/>
            <w:sz w:val="22"/>
          </w:rPr>
          <w:fldChar w:fldCharType="end"/>
        </w:r>
      </w:hyperlink>
    </w:p>
    <w:p w14:paraId="5AB19664" w14:textId="6ED50A08" w:rsidR="004F5B35" w:rsidRPr="00ED15FF" w:rsidRDefault="00E644C9">
      <w:pPr>
        <w:pStyle w:val="14"/>
        <w:rPr>
          <w:rFonts w:ascii="Calibri" w:hAnsi="Calibri" w:cs="Calibri"/>
          <w:b w:val="0"/>
          <w:caps w:val="0"/>
          <w:noProof/>
          <w:sz w:val="24"/>
          <w:szCs w:val="22"/>
        </w:rPr>
      </w:pPr>
      <w:hyperlink w:anchor="_Toc516233750" w:tooltip="当前文档" w:history="1">
        <w:r w:rsidR="008C7F89" w:rsidRPr="00ED15FF">
          <w:rPr>
            <w:rStyle w:val="af5"/>
            <w:rFonts w:hint="eastAsia"/>
            <w:b w:val="0"/>
            <w:noProof/>
            <w:sz w:val="22"/>
          </w:rPr>
          <w:t>十、基金信息披露</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_Toc516233750 \h </w:instrText>
        </w:r>
        <w:r w:rsidR="004F5B35" w:rsidRPr="00ED15FF">
          <w:rPr>
            <w:b w:val="0"/>
            <w:noProof/>
            <w:sz w:val="22"/>
          </w:rPr>
        </w:r>
        <w:r w:rsidR="004F5B35" w:rsidRPr="00ED15FF">
          <w:rPr>
            <w:b w:val="0"/>
            <w:noProof/>
            <w:sz w:val="22"/>
          </w:rPr>
          <w:fldChar w:fldCharType="separate"/>
        </w:r>
        <w:r w:rsidR="00610203">
          <w:rPr>
            <w:b w:val="0"/>
            <w:noProof/>
            <w:sz w:val="22"/>
          </w:rPr>
          <w:t>25</w:t>
        </w:r>
        <w:r w:rsidR="004F5B35" w:rsidRPr="00ED15FF">
          <w:rPr>
            <w:b w:val="0"/>
            <w:noProof/>
            <w:sz w:val="22"/>
          </w:rPr>
          <w:fldChar w:fldCharType="end"/>
        </w:r>
      </w:hyperlink>
    </w:p>
    <w:p w14:paraId="69E35D4E" w14:textId="4BF72193" w:rsidR="004F5B35" w:rsidRPr="00ED15FF" w:rsidRDefault="00E644C9">
      <w:pPr>
        <w:pStyle w:val="14"/>
        <w:rPr>
          <w:rFonts w:ascii="Calibri" w:hAnsi="Calibri" w:cs="Calibri"/>
          <w:b w:val="0"/>
          <w:caps w:val="0"/>
          <w:noProof/>
          <w:sz w:val="24"/>
          <w:szCs w:val="22"/>
        </w:rPr>
      </w:pPr>
      <w:hyperlink w:anchor="_Toc516233751" w:tooltip="当前文档" w:history="1">
        <w:r w:rsidR="008C7F89" w:rsidRPr="00ED15FF">
          <w:rPr>
            <w:rStyle w:val="af5"/>
            <w:rFonts w:hint="eastAsia"/>
            <w:b w:val="0"/>
            <w:noProof/>
            <w:sz w:val="22"/>
          </w:rPr>
          <w:t>十一、基金费用</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_Toc516233751 \h </w:instrText>
        </w:r>
        <w:r w:rsidR="004F5B35" w:rsidRPr="00ED15FF">
          <w:rPr>
            <w:b w:val="0"/>
            <w:noProof/>
            <w:sz w:val="22"/>
          </w:rPr>
        </w:r>
        <w:r w:rsidR="004F5B35" w:rsidRPr="00ED15FF">
          <w:rPr>
            <w:b w:val="0"/>
            <w:noProof/>
            <w:sz w:val="22"/>
          </w:rPr>
          <w:fldChar w:fldCharType="separate"/>
        </w:r>
        <w:r w:rsidR="00610203">
          <w:rPr>
            <w:b w:val="0"/>
            <w:noProof/>
            <w:sz w:val="22"/>
          </w:rPr>
          <w:t>27</w:t>
        </w:r>
        <w:r w:rsidR="004F5B35" w:rsidRPr="00ED15FF">
          <w:rPr>
            <w:b w:val="0"/>
            <w:noProof/>
            <w:sz w:val="22"/>
          </w:rPr>
          <w:fldChar w:fldCharType="end"/>
        </w:r>
      </w:hyperlink>
    </w:p>
    <w:p w14:paraId="527F7784" w14:textId="5C17BBFC" w:rsidR="004F5B35" w:rsidRPr="00ED15FF" w:rsidRDefault="00E644C9">
      <w:pPr>
        <w:pStyle w:val="14"/>
        <w:rPr>
          <w:rFonts w:ascii="Calibri" w:hAnsi="Calibri" w:cs="Calibri"/>
          <w:b w:val="0"/>
          <w:caps w:val="0"/>
          <w:noProof/>
          <w:sz w:val="24"/>
          <w:szCs w:val="22"/>
        </w:rPr>
      </w:pPr>
      <w:hyperlink w:anchor="_Toc516233752" w:tooltip="当前文档" w:history="1">
        <w:r w:rsidR="008C7F89" w:rsidRPr="00ED15FF">
          <w:rPr>
            <w:rStyle w:val="af5"/>
            <w:rFonts w:hint="eastAsia"/>
            <w:b w:val="0"/>
            <w:noProof/>
            <w:sz w:val="22"/>
          </w:rPr>
          <w:t>十二、基金份额持有人名册的保管</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_Toc516233752 \h </w:instrText>
        </w:r>
        <w:r w:rsidR="004F5B35" w:rsidRPr="00ED15FF">
          <w:rPr>
            <w:b w:val="0"/>
            <w:noProof/>
            <w:sz w:val="22"/>
          </w:rPr>
        </w:r>
        <w:r w:rsidR="004F5B35" w:rsidRPr="00ED15FF">
          <w:rPr>
            <w:b w:val="0"/>
            <w:noProof/>
            <w:sz w:val="22"/>
          </w:rPr>
          <w:fldChar w:fldCharType="separate"/>
        </w:r>
        <w:r w:rsidR="00610203">
          <w:rPr>
            <w:b w:val="0"/>
            <w:noProof/>
            <w:sz w:val="22"/>
          </w:rPr>
          <w:t>28</w:t>
        </w:r>
        <w:r w:rsidR="004F5B35" w:rsidRPr="00ED15FF">
          <w:rPr>
            <w:b w:val="0"/>
            <w:noProof/>
            <w:sz w:val="22"/>
          </w:rPr>
          <w:fldChar w:fldCharType="end"/>
        </w:r>
      </w:hyperlink>
    </w:p>
    <w:p w14:paraId="7F18D84B" w14:textId="5D460C8B" w:rsidR="004F5B35" w:rsidRPr="00ED15FF" w:rsidRDefault="00E644C9">
      <w:pPr>
        <w:pStyle w:val="14"/>
        <w:rPr>
          <w:rFonts w:ascii="Calibri" w:hAnsi="Calibri" w:cs="Calibri"/>
          <w:b w:val="0"/>
          <w:caps w:val="0"/>
          <w:noProof/>
          <w:sz w:val="24"/>
          <w:szCs w:val="22"/>
        </w:rPr>
      </w:pPr>
      <w:hyperlink w:anchor="_Toc516233753" w:tooltip="当前文档" w:history="1">
        <w:r w:rsidR="008C7F89" w:rsidRPr="00ED15FF">
          <w:rPr>
            <w:rStyle w:val="af5"/>
            <w:rFonts w:hint="eastAsia"/>
            <w:b w:val="0"/>
            <w:noProof/>
            <w:sz w:val="22"/>
          </w:rPr>
          <w:t>十三、基金有关文件档案的保存</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_Toc516233753 \h </w:instrText>
        </w:r>
        <w:r w:rsidR="004F5B35" w:rsidRPr="00ED15FF">
          <w:rPr>
            <w:b w:val="0"/>
            <w:noProof/>
            <w:sz w:val="22"/>
          </w:rPr>
        </w:r>
        <w:r w:rsidR="004F5B35" w:rsidRPr="00ED15FF">
          <w:rPr>
            <w:b w:val="0"/>
            <w:noProof/>
            <w:sz w:val="22"/>
          </w:rPr>
          <w:fldChar w:fldCharType="separate"/>
        </w:r>
        <w:r w:rsidR="00610203">
          <w:rPr>
            <w:b w:val="0"/>
            <w:noProof/>
            <w:sz w:val="22"/>
          </w:rPr>
          <w:t>29</w:t>
        </w:r>
        <w:r w:rsidR="004F5B35" w:rsidRPr="00ED15FF">
          <w:rPr>
            <w:b w:val="0"/>
            <w:noProof/>
            <w:sz w:val="22"/>
          </w:rPr>
          <w:fldChar w:fldCharType="end"/>
        </w:r>
      </w:hyperlink>
    </w:p>
    <w:p w14:paraId="772EB12D" w14:textId="5E52C7E9" w:rsidR="004F5B35" w:rsidRPr="00ED15FF" w:rsidRDefault="00E644C9">
      <w:pPr>
        <w:pStyle w:val="14"/>
        <w:rPr>
          <w:rFonts w:ascii="Calibri" w:hAnsi="Calibri" w:cs="Calibri"/>
          <w:b w:val="0"/>
          <w:caps w:val="0"/>
          <w:noProof/>
          <w:sz w:val="24"/>
          <w:szCs w:val="22"/>
        </w:rPr>
      </w:pPr>
      <w:hyperlink w:anchor="_Toc516233754" w:tooltip="当前文档" w:history="1">
        <w:r w:rsidR="008C7F89" w:rsidRPr="00ED15FF">
          <w:rPr>
            <w:rStyle w:val="af5"/>
            <w:rFonts w:hint="eastAsia"/>
            <w:b w:val="0"/>
            <w:noProof/>
            <w:sz w:val="22"/>
          </w:rPr>
          <w:t>十四、基金管理人和基金托管人的更换</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_Toc516233754 \h </w:instrText>
        </w:r>
        <w:r w:rsidR="004F5B35" w:rsidRPr="00ED15FF">
          <w:rPr>
            <w:b w:val="0"/>
            <w:noProof/>
            <w:sz w:val="22"/>
          </w:rPr>
        </w:r>
        <w:r w:rsidR="004F5B35" w:rsidRPr="00ED15FF">
          <w:rPr>
            <w:b w:val="0"/>
            <w:noProof/>
            <w:sz w:val="22"/>
          </w:rPr>
          <w:fldChar w:fldCharType="separate"/>
        </w:r>
        <w:r w:rsidR="00610203">
          <w:rPr>
            <w:b w:val="0"/>
            <w:noProof/>
            <w:sz w:val="22"/>
          </w:rPr>
          <w:t>29</w:t>
        </w:r>
        <w:r w:rsidR="004F5B35" w:rsidRPr="00ED15FF">
          <w:rPr>
            <w:b w:val="0"/>
            <w:noProof/>
            <w:sz w:val="22"/>
          </w:rPr>
          <w:fldChar w:fldCharType="end"/>
        </w:r>
      </w:hyperlink>
    </w:p>
    <w:p w14:paraId="554FF5F8" w14:textId="3A82F6CD" w:rsidR="004F5B35" w:rsidRPr="00ED15FF" w:rsidRDefault="00E644C9">
      <w:pPr>
        <w:pStyle w:val="14"/>
        <w:rPr>
          <w:rFonts w:ascii="Calibri" w:hAnsi="Calibri" w:cs="Calibri"/>
          <w:b w:val="0"/>
          <w:caps w:val="0"/>
          <w:noProof/>
          <w:sz w:val="24"/>
          <w:szCs w:val="22"/>
        </w:rPr>
      </w:pPr>
      <w:hyperlink w:anchor="_Toc516233755" w:tooltip="当前文档" w:history="1">
        <w:r w:rsidR="008C7F89" w:rsidRPr="00ED15FF">
          <w:rPr>
            <w:rStyle w:val="af5"/>
            <w:rFonts w:hint="eastAsia"/>
            <w:b w:val="0"/>
            <w:noProof/>
            <w:sz w:val="22"/>
          </w:rPr>
          <w:t>十五、禁止行为</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_Toc516233755 \h </w:instrText>
        </w:r>
        <w:r w:rsidR="004F5B35" w:rsidRPr="00ED15FF">
          <w:rPr>
            <w:b w:val="0"/>
            <w:noProof/>
            <w:sz w:val="22"/>
          </w:rPr>
        </w:r>
        <w:r w:rsidR="004F5B35" w:rsidRPr="00ED15FF">
          <w:rPr>
            <w:b w:val="0"/>
            <w:noProof/>
            <w:sz w:val="22"/>
          </w:rPr>
          <w:fldChar w:fldCharType="separate"/>
        </w:r>
        <w:r w:rsidR="00610203">
          <w:rPr>
            <w:b w:val="0"/>
            <w:noProof/>
            <w:sz w:val="22"/>
          </w:rPr>
          <w:t>32</w:t>
        </w:r>
        <w:r w:rsidR="004F5B35" w:rsidRPr="00ED15FF">
          <w:rPr>
            <w:b w:val="0"/>
            <w:noProof/>
            <w:sz w:val="22"/>
          </w:rPr>
          <w:fldChar w:fldCharType="end"/>
        </w:r>
      </w:hyperlink>
    </w:p>
    <w:p w14:paraId="779C1736" w14:textId="1BF2FFC5" w:rsidR="004F5B35" w:rsidRPr="00ED15FF" w:rsidRDefault="00E644C9">
      <w:pPr>
        <w:pStyle w:val="14"/>
        <w:rPr>
          <w:rFonts w:ascii="Calibri" w:hAnsi="Calibri" w:cs="Calibri"/>
          <w:b w:val="0"/>
          <w:caps w:val="0"/>
          <w:noProof/>
          <w:sz w:val="24"/>
          <w:szCs w:val="22"/>
        </w:rPr>
      </w:pPr>
      <w:hyperlink w:anchor="_Toc516233756" w:tooltip="当前文档" w:history="1">
        <w:r w:rsidR="008C7F89" w:rsidRPr="00ED15FF">
          <w:rPr>
            <w:rStyle w:val="af5"/>
            <w:rFonts w:hint="eastAsia"/>
            <w:b w:val="0"/>
            <w:noProof/>
            <w:sz w:val="22"/>
          </w:rPr>
          <w:t>十六、基金托管协议的变更、终止与基金财产的清算</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_Toc516233756 \h </w:instrText>
        </w:r>
        <w:r w:rsidR="004F5B35" w:rsidRPr="00ED15FF">
          <w:rPr>
            <w:b w:val="0"/>
            <w:noProof/>
            <w:sz w:val="22"/>
          </w:rPr>
        </w:r>
        <w:r w:rsidR="004F5B35" w:rsidRPr="00ED15FF">
          <w:rPr>
            <w:b w:val="0"/>
            <w:noProof/>
            <w:sz w:val="22"/>
          </w:rPr>
          <w:fldChar w:fldCharType="separate"/>
        </w:r>
        <w:r w:rsidR="00610203">
          <w:rPr>
            <w:b w:val="0"/>
            <w:noProof/>
            <w:sz w:val="22"/>
          </w:rPr>
          <w:t>32</w:t>
        </w:r>
        <w:r w:rsidR="004F5B35" w:rsidRPr="00ED15FF">
          <w:rPr>
            <w:b w:val="0"/>
            <w:noProof/>
            <w:sz w:val="22"/>
          </w:rPr>
          <w:fldChar w:fldCharType="end"/>
        </w:r>
      </w:hyperlink>
    </w:p>
    <w:p w14:paraId="3A3376F1" w14:textId="5BC7EB8A" w:rsidR="004F5B35" w:rsidRPr="00ED15FF" w:rsidRDefault="00E644C9">
      <w:pPr>
        <w:pStyle w:val="14"/>
        <w:rPr>
          <w:rFonts w:ascii="Calibri" w:hAnsi="Calibri" w:cs="Calibri"/>
          <w:b w:val="0"/>
          <w:caps w:val="0"/>
          <w:noProof/>
          <w:sz w:val="24"/>
          <w:szCs w:val="22"/>
        </w:rPr>
      </w:pPr>
      <w:hyperlink w:anchor="_Toc516233757" w:tooltip="当前文档" w:history="1">
        <w:r w:rsidR="008C7F89" w:rsidRPr="00ED15FF">
          <w:rPr>
            <w:rStyle w:val="af5"/>
            <w:rFonts w:hint="eastAsia"/>
            <w:b w:val="0"/>
            <w:noProof/>
            <w:sz w:val="22"/>
          </w:rPr>
          <w:t>十七、违约责任</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_Toc516233757 \h </w:instrText>
        </w:r>
        <w:r w:rsidR="004F5B35" w:rsidRPr="00ED15FF">
          <w:rPr>
            <w:b w:val="0"/>
            <w:noProof/>
            <w:sz w:val="22"/>
          </w:rPr>
        </w:r>
        <w:r w:rsidR="004F5B35" w:rsidRPr="00ED15FF">
          <w:rPr>
            <w:b w:val="0"/>
            <w:noProof/>
            <w:sz w:val="22"/>
          </w:rPr>
          <w:fldChar w:fldCharType="separate"/>
        </w:r>
        <w:r w:rsidR="00610203">
          <w:rPr>
            <w:b w:val="0"/>
            <w:noProof/>
            <w:sz w:val="22"/>
          </w:rPr>
          <w:t>34</w:t>
        </w:r>
        <w:r w:rsidR="004F5B35" w:rsidRPr="00ED15FF">
          <w:rPr>
            <w:b w:val="0"/>
            <w:noProof/>
            <w:sz w:val="22"/>
          </w:rPr>
          <w:fldChar w:fldCharType="end"/>
        </w:r>
      </w:hyperlink>
    </w:p>
    <w:p w14:paraId="6366CCFF" w14:textId="6FFD17D0" w:rsidR="004F5B35" w:rsidRPr="00ED15FF" w:rsidRDefault="00E644C9">
      <w:pPr>
        <w:pStyle w:val="14"/>
        <w:rPr>
          <w:rFonts w:ascii="Calibri" w:hAnsi="Calibri" w:cs="Calibri"/>
          <w:b w:val="0"/>
          <w:caps w:val="0"/>
          <w:noProof/>
          <w:sz w:val="24"/>
          <w:szCs w:val="22"/>
        </w:rPr>
      </w:pPr>
      <w:hyperlink w:anchor="_Toc516233758" w:tooltip="当前文档" w:history="1">
        <w:r w:rsidR="008C7F89" w:rsidRPr="00ED15FF">
          <w:rPr>
            <w:rStyle w:val="af5"/>
            <w:rFonts w:hint="eastAsia"/>
            <w:b w:val="0"/>
            <w:noProof/>
            <w:sz w:val="22"/>
          </w:rPr>
          <w:t>十八、争议解决方式</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_Toc516233758 \h </w:instrText>
        </w:r>
        <w:r w:rsidR="004F5B35" w:rsidRPr="00ED15FF">
          <w:rPr>
            <w:b w:val="0"/>
            <w:noProof/>
            <w:sz w:val="22"/>
          </w:rPr>
        </w:r>
        <w:r w:rsidR="004F5B35" w:rsidRPr="00ED15FF">
          <w:rPr>
            <w:b w:val="0"/>
            <w:noProof/>
            <w:sz w:val="22"/>
          </w:rPr>
          <w:fldChar w:fldCharType="separate"/>
        </w:r>
        <w:r w:rsidR="00610203">
          <w:rPr>
            <w:b w:val="0"/>
            <w:noProof/>
            <w:sz w:val="22"/>
          </w:rPr>
          <w:t>35</w:t>
        </w:r>
        <w:r w:rsidR="004F5B35" w:rsidRPr="00ED15FF">
          <w:rPr>
            <w:b w:val="0"/>
            <w:noProof/>
            <w:sz w:val="22"/>
          </w:rPr>
          <w:fldChar w:fldCharType="end"/>
        </w:r>
      </w:hyperlink>
    </w:p>
    <w:p w14:paraId="79D33D7B" w14:textId="78192CA8" w:rsidR="004F5B35" w:rsidRPr="00ED15FF" w:rsidRDefault="00E644C9">
      <w:pPr>
        <w:pStyle w:val="14"/>
        <w:rPr>
          <w:rFonts w:ascii="Calibri" w:hAnsi="Calibri" w:cs="Calibri"/>
          <w:b w:val="0"/>
          <w:caps w:val="0"/>
          <w:noProof/>
          <w:sz w:val="24"/>
          <w:szCs w:val="22"/>
        </w:rPr>
      </w:pPr>
      <w:hyperlink w:anchor="_Toc516233759" w:tooltip="当前文档" w:history="1">
        <w:r w:rsidR="008C7F89" w:rsidRPr="00ED15FF">
          <w:rPr>
            <w:rStyle w:val="af5"/>
            <w:rFonts w:hint="eastAsia"/>
            <w:b w:val="0"/>
            <w:noProof/>
            <w:sz w:val="22"/>
          </w:rPr>
          <w:t>十九、基金托管协议的效力</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_Toc516233759 \h </w:instrText>
        </w:r>
        <w:r w:rsidR="004F5B35" w:rsidRPr="00ED15FF">
          <w:rPr>
            <w:b w:val="0"/>
            <w:noProof/>
            <w:sz w:val="22"/>
          </w:rPr>
        </w:r>
        <w:r w:rsidR="004F5B35" w:rsidRPr="00ED15FF">
          <w:rPr>
            <w:b w:val="0"/>
            <w:noProof/>
            <w:sz w:val="22"/>
          </w:rPr>
          <w:fldChar w:fldCharType="separate"/>
        </w:r>
        <w:r w:rsidR="00610203">
          <w:rPr>
            <w:b w:val="0"/>
            <w:noProof/>
            <w:sz w:val="22"/>
          </w:rPr>
          <w:t>36</w:t>
        </w:r>
        <w:r w:rsidR="004F5B35" w:rsidRPr="00ED15FF">
          <w:rPr>
            <w:b w:val="0"/>
            <w:noProof/>
            <w:sz w:val="22"/>
          </w:rPr>
          <w:fldChar w:fldCharType="end"/>
        </w:r>
      </w:hyperlink>
    </w:p>
    <w:p w14:paraId="37EA98A3" w14:textId="555531D3" w:rsidR="004F5B35" w:rsidRPr="00ED15FF" w:rsidRDefault="00E644C9">
      <w:pPr>
        <w:pStyle w:val="14"/>
        <w:rPr>
          <w:rFonts w:ascii="Calibri" w:hAnsi="Calibri" w:cs="Calibri"/>
          <w:b w:val="0"/>
          <w:caps w:val="0"/>
          <w:noProof/>
          <w:sz w:val="24"/>
          <w:szCs w:val="22"/>
        </w:rPr>
      </w:pPr>
      <w:hyperlink w:anchor="_Toc516233760" w:tooltip="当前文档" w:history="1">
        <w:r w:rsidR="008C7F89" w:rsidRPr="00ED15FF">
          <w:rPr>
            <w:rStyle w:val="af5"/>
            <w:rFonts w:hint="eastAsia"/>
            <w:b w:val="0"/>
            <w:noProof/>
            <w:sz w:val="22"/>
          </w:rPr>
          <w:t>二十、其他事项</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_Toc516233760 \h </w:instrText>
        </w:r>
        <w:r w:rsidR="004F5B35" w:rsidRPr="00ED15FF">
          <w:rPr>
            <w:b w:val="0"/>
            <w:noProof/>
            <w:sz w:val="22"/>
          </w:rPr>
        </w:r>
        <w:r w:rsidR="004F5B35" w:rsidRPr="00ED15FF">
          <w:rPr>
            <w:b w:val="0"/>
            <w:noProof/>
            <w:sz w:val="22"/>
          </w:rPr>
          <w:fldChar w:fldCharType="separate"/>
        </w:r>
        <w:r w:rsidR="00610203">
          <w:rPr>
            <w:b w:val="0"/>
            <w:noProof/>
            <w:sz w:val="22"/>
          </w:rPr>
          <w:t>36</w:t>
        </w:r>
        <w:r w:rsidR="004F5B35" w:rsidRPr="00ED15FF">
          <w:rPr>
            <w:b w:val="0"/>
            <w:noProof/>
            <w:sz w:val="22"/>
          </w:rPr>
          <w:fldChar w:fldCharType="end"/>
        </w:r>
      </w:hyperlink>
    </w:p>
    <w:p w14:paraId="3DEE6FEB" w14:textId="0A4FAB9E" w:rsidR="004F5B35" w:rsidRPr="00ED15FF" w:rsidRDefault="00E644C9">
      <w:pPr>
        <w:pStyle w:val="14"/>
        <w:rPr>
          <w:rFonts w:ascii="Calibri" w:hAnsi="Calibri" w:cs="Calibri"/>
          <w:b w:val="0"/>
          <w:caps w:val="0"/>
          <w:noProof/>
          <w:sz w:val="21"/>
          <w:szCs w:val="22"/>
        </w:rPr>
      </w:pPr>
      <w:hyperlink w:anchor="_Toc516233761" w:tooltip="当前文档" w:history="1">
        <w:r w:rsidR="008C7F89" w:rsidRPr="00ED15FF">
          <w:rPr>
            <w:rStyle w:val="af5"/>
            <w:rFonts w:hint="eastAsia"/>
            <w:b w:val="0"/>
            <w:noProof/>
            <w:sz w:val="22"/>
          </w:rPr>
          <w:t>二十一、基金托管协议的签订</w:t>
        </w:r>
        <w:r w:rsidR="008C7F89" w:rsidRPr="00ED15FF">
          <w:rPr>
            <w:b w:val="0"/>
            <w:noProof/>
            <w:sz w:val="22"/>
          </w:rPr>
          <w:tab/>
        </w:r>
        <w:r w:rsidR="004F5B35" w:rsidRPr="00ED15FF">
          <w:rPr>
            <w:b w:val="0"/>
            <w:noProof/>
            <w:sz w:val="22"/>
          </w:rPr>
          <w:fldChar w:fldCharType="begin"/>
        </w:r>
        <w:r w:rsidR="008C7F89" w:rsidRPr="00ED15FF">
          <w:rPr>
            <w:b w:val="0"/>
            <w:noProof/>
            <w:sz w:val="22"/>
          </w:rPr>
          <w:instrText xml:space="preserve"> PAGEREF _Toc516233761 \h </w:instrText>
        </w:r>
        <w:r w:rsidR="004F5B35" w:rsidRPr="00ED15FF">
          <w:rPr>
            <w:b w:val="0"/>
            <w:noProof/>
            <w:sz w:val="22"/>
          </w:rPr>
        </w:r>
        <w:r w:rsidR="004F5B35" w:rsidRPr="00ED15FF">
          <w:rPr>
            <w:b w:val="0"/>
            <w:noProof/>
            <w:sz w:val="22"/>
          </w:rPr>
          <w:fldChar w:fldCharType="separate"/>
        </w:r>
        <w:r w:rsidR="00610203">
          <w:rPr>
            <w:b w:val="0"/>
            <w:noProof/>
            <w:sz w:val="22"/>
          </w:rPr>
          <w:t>36</w:t>
        </w:r>
        <w:r w:rsidR="004F5B35" w:rsidRPr="00ED15FF">
          <w:rPr>
            <w:b w:val="0"/>
            <w:noProof/>
            <w:sz w:val="22"/>
          </w:rPr>
          <w:fldChar w:fldCharType="end"/>
        </w:r>
      </w:hyperlink>
    </w:p>
    <w:p w14:paraId="7F4867E1" w14:textId="77777777" w:rsidR="004F5B35" w:rsidRPr="00ED15FF" w:rsidRDefault="004F5B35">
      <w:pPr>
        <w:pStyle w:val="14"/>
        <w:tabs>
          <w:tab w:val="clear" w:pos="8455"/>
          <w:tab w:val="right" w:leader="dot" w:pos="8296"/>
        </w:tabs>
        <w:spacing w:before="0"/>
        <w:ind w:firstLine="0"/>
        <w:rPr>
          <w:rStyle w:val="af5"/>
          <w:rFonts w:ascii="宋体"/>
          <w:bCs/>
          <w:color w:val="auto"/>
        </w:rPr>
      </w:pPr>
      <w:r w:rsidRPr="00ED15FF">
        <w:rPr>
          <w:rStyle w:val="af5"/>
          <w:rFonts w:ascii="宋体" w:hAnsi="宋体"/>
          <w:bCs/>
          <w:color w:val="auto"/>
          <w:sz w:val="24"/>
          <w:szCs w:val="24"/>
        </w:rPr>
        <w:fldChar w:fldCharType="end"/>
      </w:r>
    </w:p>
    <w:p w14:paraId="17C616F4" w14:textId="7CCC6F01" w:rsidR="004F5B35" w:rsidRPr="00ED15FF" w:rsidRDefault="008C7F89">
      <w:pPr>
        <w:spacing w:line="360" w:lineRule="auto"/>
        <w:ind w:firstLine="420"/>
        <w:rPr>
          <w:rFonts w:ascii="宋体"/>
          <w:sz w:val="24"/>
        </w:rPr>
      </w:pPr>
      <w:r w:rsidRPr="00ED15FF">
        <w:rPr>
          <w:rStyle w:val="af5"/>
          <w:rFonts w:ascii="宋体"/>
          <w:bCs/>
          <w:color w:val="auto"/>
        </w:rPr>
        <w:br w:type="page"/>
      </w:r>
      <w:bookmarkStart w:id="0" w:name="_Toc125892432"/>
      <w:bookmarkStart w:id="1" w:name="_Toc523829992"/>
      <w:bookmarkStart w:id="2" w:name="_Toc22454432"/>
      <w:r w:rsidRPr="00ED15FF">
        <w:rPr>
          <w:rFonts w:ascii="宋体" w:hAnsi="宋体" w:hint="eastAsia"/>
          <w:sz w:val="24"/>
        </w:rPr>
        <w:lastRenderedPageBreak/>
        <w:t>鉴于平安基金管理有限公司系一家依照中国法律合法成立并有效存续的有限责任公司，拟募集平安策略回报混合型证券投资基金</w:t>
      </w:r>
      <w:r w:rsidRPr="00ED15FF">
        <w:rPr>
          <w:rFonts w:ascii="宋体" w:hAnsi="宋体"/>
          <w:sz w:val="24"/>
        </w:rPr>
        <w:t>（以下简称“本基金”或“基金”）；</w:t>
      </w:r>
      <w:bookmarkEnd w:id="0"/>
    </w:p>
    <w:p w14:paraId="256B5DFE" w14:textId="77777777" w:rsidR="004F5B35" w:rsidRPr="00ED15FF" w:rsidRDefault="008C7F89">
      <w:pPr>
        <w:spacing w:line="360" w:lineRule="auto"/>
        <w:ind w:firstLine="480"/>
        <w:rPr>
          <w:rFonts w:ascii="宋体"/>
          <w:sz w:val="24"/>
        </w:rPr>
      </w:pPr>
      <w:bookmarkStart w:id="3" w:name="_Toc125892433"/>
      <w:r w:rsidRPr="00ED15FF">
        <w:rPr>
          <w:rFonts w:ascii="宋体" w:hAnsi="宋体"/>
          <w:sz w:val="24"/>
        </w:rPr>
        <w:t>鉴于交通银行股份有限公司系一家依照中国法律合法成立并有效存续的银行，按照相关法律法规的规定具备担任基金托管人的资格和能力；</w:t>
      </w:r>
      <w:bookmarkEnd w:id="3"/>
    </w:p>
    <w:p w14:paraId="23019A77" w14:textId="1B741EE9" w:rsidR="004F5B35" w:rsidRPr="00ED15FF" w:rsidRDefault="008C7F89">
      <w:pPr>
        <w:spacing w:line="360" w:lineRule="auto"/>
        <w:ind w:firstLine="480"/>
        <w:rPr>
          <w:rFonts w:ascii="宋体" w:hAnsi="宋体"/>
          <w:sz w:val="24"/>
        </w:rPr>
      </w:pPr>
      <w:bookmarkStart w:id="4" w:name="_Toc125892434"/>
      <w:r w:rsidRPr="00ED15FF">
        <w:rPr>
          <w:rFonts w:ascii="宋体" w:hAnsi="宋体" w:hint="eastAsia"/>
          <w:sz w:val="24"/>
        </w:rPr>
        <w:t>鉴于平安基金管理有限公司拟担任平安策略回报混合型证券投资基金的基金管理人，交通银行股份有限公司拟担任平安策略回报混合型证券投资基金</w:t>
      </w:r>
      <w:r w:rsidRPr="00ED15FF">
        <w:rPr>
          <w:rFonts w:ascii="宋体" w:hAnsi="宋体"/>
          <w:sz w:val="24"/>
        </w:rPr>
        <w:t>的基金托管人；</w:t>
      </w:r>
      <w:bookmarkEnd w:id="4"/>
    </w:p>
    <w:p w14:paraId="0F8F7BC2" w14:textId="77777777" w:rsidR="008C77E4" w:rsidRPr="00ED15FF" w:rsidRDefault="008C77E4" w:rsidP="008C77E4">
      <w:pPr>
        <w:pStyle w:val="aff5"/>
        <w:spacing w:line="360" w:lineRule="auto"/>
        <w:ind w:firstLine="480"/>
        <w:rPr>
          <w:rFonts w:eastAsia="宋体"/>
          <w:bCs/>
          <w:sz w:val="24"/>
        </w:rPr>
      </w:pPr>
      <w:r w:rsidRPr="00ED15FF">
        <w:rPr>
          <w:rFonts w:eastAsia="宋体"/>
          <w:bCs/>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Pr="00ED15FF">
        <w:rPr>
          <w:rFonts w:eastAsia="宋体"/>
          <w:bCs/>
          <w:sz w:val="24"/>
        </w:rPr>
        <w:t>2017</w:t>
      </w:r>
      <w:r w:rsidRPr="00ED15FF">
        <w:rPr>
          <w:rFonts w:eastAsia="宋体"/>
          <w:bCs/>
          <w:sz w:val="24"/>
        </w:rPr>
        <w:t>﹞</w:t>
      </w:r>
      <w:r w:rsidRPr="00ED15FF">
        <w:rPr>
          <w:rFonts w:eastAsia="宋体"/>
          <w:bCs/>
          <w:sz w:val="24"/>
        </w:rPr>
        <w:t>235</w:t>
      </w:r>
      <w:r w:rsidRPr="00ED15FF">
        <w:rPr>
          <w:rFonts w:eastAsia="宋体"/>
          <w:bCs/>
          <w:sz w:val="24"/>
        </w:rPr>
        <w:t>号）、《中国人民银行关于进一步做好受益所有人身份识别工作有关问题的通知》（银发﹝</w:t>
      </w:r>
      <w:r w:rsidRPr="00ED15FF">
        <w:rPr>
          <w:rFonts w:eastAsia="宋体"/>
          <w:bCs/>
          <w:sz w:val="24"/>
        </w:rPr>
        <w:t>2018</w:t>
      </w:r>
      <w:r w:rsidRPr="00ED15FF">
        <w:rPr>
          <w:rFonts w:eastAsia="宋体"/>
          <w:bCs/>
          <w:sz w:val="24"/>
        </w:rPr>
        <w:t>﹞</w:t>
      </w:r>
      <w:r w:rsidRPr="00ED15FF">
        <w:rPr>
          <w:rFonts w:eastAsia="宋体"/>
          <w:bCs/>
          <w:sz w:val="24"/>
        </w:rPr>
        <w:t>164</w:t>
      </w:r>
      <w:r w:rsidRPr="00ED15FF">
        <w:rPr>
          <w:rFonts w:eastAsia="宋体"/>
          <w:bCs/>
          <w:sz w:val="24"/>
        </w:rPr>
        <w:t>号）等反洗钱相关法律法规、监管规定，将严格遵守上述规定，不会违反任何前述规定；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14:paraId="0E8B819E" w14:textId="77777777" w:rsidR="008C77E4" w:rsidRPr="00ED15FF" w:rsidRDefault="008C77E4" w:rsidP="008C77E4">
      <w:pPr>
        <w:pStyle w:val="aff5"/>
        <w:spacing w:line="360" w:lineRule="auto"/>
        <w:ind w:firstLine="480"/>
        <w:rPr>
          <w:rFonts w:eastAsia="宋体"/>
          <w:bCs/>
          <w:sz w:val="24"/>
        </w:rPr>
      </w:pPr>
      <w:r w:rsidRPr="00ED15FF">
        <w:rPr>
          <w:rFonts w:eastAsia="宋体" w:hint="eastAsia"/>
          <w:bCs/>
          <w:sz w:val="24"/>
        </w:rPr>
        <w:t>基金管理人承诺基金管理人及其下属子公司均不属于联合国及相关国家、组织、机构发布的制裁名单，及中国政府部门或有权机关发布的涉恐及反洗钱相关风险名单内的企业或个人；不位于被联合国及相关国家、组织、机构制裁的国家和地区。</w:t>
      </w:r>
    </w:p>
    <w:p w14:paraId="74EB2342" w14:textId="5E212668" w:rsidR="004F5B35" w:rsidRPr="00ED15FF" w:rsidRDefault="008C7F89">
      <w:pPr>
        <w:spacing w:line="360" w:lineRule="auto"/>
        <w:ind w:firstLine="480"/>
        <w:rPr>
          <w:rFonts w:ascii="宋体"/>
          <w:sz w:val="24"/>
        </w:rPr>
      </w:pPr>
      <w:bookmarkStart w:id="5" w:name="_Toc125892435"/>
      <w:r w:rsidRPr="00ED15FF">
        <w:rPr>
          <w:rFonts w:ascii="宋体" w:hAnsi="宋体" w:hint="eastAsia"/>
          <w:sz w:val="24"/>
        </w:rPr>
        <w:t>为明确平安策略回报混合型证券投资基金</w:t>
      </w:r>
      <w:r w:rsidRPr="00ED15FF">
        <w:rPr>
          <w:rFonts w:ascii="宋体" w:hAnsi="宋体"/>
          <w:sz w:val="24"/>
        </w:rPr>
        <w:t>的基金管理人和基金托管人之间的权利义务关系，特制订本协议；</w:t>
      </w:r>
      <w:bookmarkEnd w:id="5"/>
    </w:p>
    <w:p w14:paraId="7BB49615" w14:textId="38CB4BDB" w:rsidR="004F5B35" w:rsidRPr="00ED15FF" w:rsidRDefault="008C7F89">
      <w:pPr>
        <w:spacing w:line="360" w:lineRule="auto"/>
        <w:ind w:firstLine="480"/>
        <w:rPr>
          <w:rFonts w:ascii="宋体" w:hAnsi="宋体"/>
          <w:sz w:val="24"/>
        </w:rPr>
      </w:pPr>
      <w:bookmarkStart w:id="6" w:name="_Toc125892436"/>
      <w:r w:rsidRPr="00ED15FF">
        <w:rPr>
          <w:rFonts w:ascii="宋体" w:hAnsi="宋体" w:hint="eastAsia"/>
          <w:sz w:val="24"/>
        </w:rPr>
        <w:t>除非文义另有所指，本协议的所有术语与《平安策略回报混合型证券投资基金</w:t>
      </w:r>
      <w:r w:rsidRPr="00ED15FF">
        <w:rPr>
          <w:rFonts w:ascii="宋体" w:hAnsi="宋体"/>
          <w:sz w:val="24"/>
        </w:rPr>
        <w:t>基金合同》（以下简称《基金合同》）中定义的相应术语具有相同的含义。若有抵触应以《基金合同》为准，并依其条款解释。</w:t>
      </w:r>
      <w:bookmarkStart w:id="7" w:name="_Toc125892437"/>
      <w:bookmarkEnd w:id="6"/>
    </w:p>
    <w:p w14:paraId="59EE8E40"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若本基金实施侧袋机制的，侧袋机制实施期间的相关安排见基金合同和招募说明书的规定。</w:t>
      </w:r>
    </w:p>
    <w:p w14:paraId="2FD4195F" w14:textId="77777777" w:rsidR="004F5B35" w:rsidRPr="00ED15FF" w:rsidRDefault="008C7F89">
      <w:pPr>
        <w:pStyle w:val="117"/>
      </w:pPr>
      <w:r w:rsidRPr="00ED15FF">
        <w:br w:type="page"/>
      </w:r>
      <w:bookmarkStart w:id="8" w:name="_Toc516233741"/>
      <w:r w:rsidRPr="00ED15FF">
        <w:lastRenderedPageBreak/>
        <w:t>一、基金托管协议当事人</w:t>
      </w:r>
      <w:bookmarkEnd w:id="1"/>
      <w:bookmarkEnd w:id="2"/>
      <w:bookmarkEnd w:id="7"/>
      <w:bookmarkEnd w:id="8"/>
    </w:p>
    <w:p w14:paraId="76DE2F78" w14:textId="77777777" w:rsidR="004F5B35" w:rsidRPr="00ED15FF" w:rsidRDefault="008C7F89">
      <w:pPr>
        <w:tabs>
          <w:tab w:val="left" w:pos="3780"/>
        </w:tabs>
        <w:spacing w:line="360" w:lineRule="auto"/>
        <w:outlineLvl w:val="0"/>
        <w:rPr>
          <w:rFonts w:ascii="宋体"/>
          <w:b/>
          <w:bCs/>
          <w:sz w:val="24"/>
        </w:rPr>
      </w:pPr>
      <w:bookmarkStart w:id="9" w:name="_Toc22454433"/>
      <w:bookmarkStart w:id="10" w:name="_Toc77662992"/>
      <w:r w:rsidRPr="00ED15FF">
        <w:rPr>
          <w:rFonts w:ascii="宋体" w:hAnsi="宋体"/>
          <w:b/>
          <w:bCs/>
          <w:sz w:val="24"/>
        </w:rPr>
        <w:t>（一）基金管理人</w:t>
      </w:r>
      <w:bookmarkEnd w:id="9"/>
      <w:bookmarkEnd w:id="10"/>
    </w:p>
    <w:p w14:paraId="44D00641" w14:textId="77777777" w:rsidR="004F5B35" w:rsidRPr="00ED15FF" w:rsidRDefault="008C7F89">
      <w:pPr>
        <w:spacing w:line="360" w:lineRule="auto"/>
        <w:ind w:firstLine="480"/>
        <w:rPr>
          <w:rFonts w:ascii="宋体"/>
          <w:sz w:val="24"/>
        </w:rPr>
      </w:pPr>
      <w:r w:rsidRPr="00ED15FF">
        <w:rPr>
          <w:rFonts w:ascii="宋体" w:hAnsi="宋体" w:hint="eastAsia"/>
          <w:sz w:val="24"/>
        </w:rPr>
        <w:t>名称：平安基金管理有限公司</w:t>
      </w:r>
    </w:p>
    <w:p w14:paraId="7B8CC899" w14:textId="77777777" w:rsidR="004F5B35" w:rsidRPr="00ED15FF" w:rsidRDefault="008C7F89">
      <w:pPr>
        <w:spacing w:line="360" w:lineRule="auto"/>
        <w:ind w:firstLine="480"/>
        <w:rPr>
          <w:rFonts w:ascii="宋体"/>
          <w:sz w:val="24"/>
        </w:rPr>
      </w:pPr>
      <w:r w:rsidRPr="00ED15FF">
        <w:rPr>
          <w:rFonts w:ascii="宋体" w:hAnsi="宋体" w:hint="eastAsia"/>
          <w:sz w:val="24"/>
        </w:rPr>
        <w:t>住所：</w:t>
      </w:r>
      <w:r w:rsidRPr="00ED15FF">
        <w:rPr>
          <w:rFonts w:hint="eastAsia"/>
          <w:color w:val="000000"/>
          <w:sz w:val="24"/>
        </w:rPr>
        <w:t>深圳市福田区益田路</w:t>
      </w:r>
      <w:r w:rsidRPr="00ED15FF">
        <w:rPr>
          <w:rFonts w:hint="eastAsia"/>
          <w:color w:val="000000"/>
          <w:sz w:val="24"/>
        </w:rPr>
        <w:t>5033</w:t>
      </w:r>
      <w:r w:rsidRPr="00ED15FF">
        <w:rPr>
          <w:rFonts w:hint="eastAsia"/>
          <w:color w:val="000000"/>
          <w:sz w:val="24"/>
        </w:rPr>
        <w:t>号平安金融中心</w:t>
      </w:r>
      <w:r w:rsidRPr="00ED15FF">
        <w:rPr>
          <w:rFonts w:hint="eastAsia"/>
          <w:color w:val="000000"/>
          <w:sz w:val="24"/>
        </w:rPr>
        <w:t>34</w:t>
      </w:r>
      <w:r w:rsidRPr="00ED15FF">
        <w:rPr>
          <w:rFonts w:hint="eastAsia"/>
          <w:color w:val="000000"/>
          <w:sz w:val="24"/>
        </w:rPr>
        <w:t>层</w:t>
      </w:r>
    </w:p>
    <w:p w14:paraId="62F87F61" w14:textId="77777777" w:rsidR="004F5B35" w:rsidRPr="00ED15FF" w:rsidRDefault="008C7F89">
      <w:pPr>
        <w:spacing w:line="360" w:lineRule="auto"/>
        <w:ind w:firstLine="480"/>
        <w:rPr>
          <w:rFonts w:ascii="宋体"/>
          <w:sz w:val="24"/>
        </w:rPr>
      </w:pPr>
      <w:r w:rsidRPr="00ED15FF">
        <w:rPr>
          <w:rFonts w:ascii="宋体" w:hAnsi="宋体" w:hint="eastAsia"/>
          <w:sz w:val="24"/>
        </w:rPr>
        <w:t>办公地址：深圳市福田区益田路5033号平安金融中心34层</w:t>
      </w:r>
    </w:p>
    <w:p w14:paraId="723B985B" w14:textId="77777777" w:rsidR="004F5B35" w:rsidRPr="00ED15FF" w:rsidRDefault="008C7F89">
      <w:pPr>
        <w:spacing w:line="360" w:lineRule="auto"/>
        <w:ind w:firstLine="480"/>
        <w:rPr>
          <w:color w:val="000000"/>
          <w:sz w:val="24"/>
        </w:rPr>
      </w:pPr>
      <w:r w:rsidRPr="00ED15FF">
        <w:rPr>
          <w:rFonts w:ascii="宋体" w:hAnsi="宋体" w:hint="eastAsia"/>
          <w:sz w:val="24"/>
        </w:rPr>
        <w:t>法定代表人：罗春风</w:t>
      </w:r>
    </w:p>
    <w:p w14:paraId="7350DF61" w14:textId="77777777" w:rsidR="004F5B35" w:rsidRPr="00ED15FF" w:rsidRDefault="008C7F89">
      <w:pPr>
        <w:spacing w:line="360" w:lineRule="auto"/>
        <w:ind w:firstLine="480"/>
        <w:rPr>
          <w:rFonts w:ascii="宋体"/>
          <w:sz w:val="24"/>
        </w:rPr>
      </w:pPr>
      <w:r w:rsidRPr="00ED15FF">
        <w:rPr>
          <w:rFonts w:ascii="宋体" w:hAnsi="宋体" w:hint="eastAsia"/>
          <w:sz w:val="24"/>
        </w:rPr>
        <w:t>成立时间：</w:t>
      </w:r>
      <w:r w:rsidRPr="00ED15FF">
        <w:rPr>
          <w:rFonts w:hint="eastAsia"/>
          <w:color w:val="000000"/>
          <w:sz w:val="24"/>
        </w:rPr>
        <w:t>2011</w:t>
      </w:r>
      <w:r w:rsidRPr="00ED15FF">
        <w:rPr>
          <w:rFonts w:hint="eastAsia"/>
          <w:color w:val="000000"/>
          <w:sz w:val="24"/>
        </w:rPr>
        <w:t>年</w:t>
      </w:r>
      <w:r w:rsidRPr="00ED15FF">
        <w:rPr>
          <w:rFonts w:hint="eastAsia"/>
          <w:color w:val="000000"/>
          <w:sz w:val="24"/>
        </w:rPr>
        <w:t>1</w:t>
      </w:r>
      <w:r w:rsidRPr="00ED15FF">
        <w:rPr>
          <w:rFonts w:hint="eastAsia"/>
          <w:color w:val="000000"/>
          <w:sz w:val="24"/>
        </w:rPr>
        <w:t>月</w:t>
      </w:r>
      <w:r w:rsidRPr="00ED15FF">
        <w:rPr>
          <w:rFonts w:hint="eastAsia"/>
          <w:color w:val="000000"/>
          <w:sz w:val="24"/>
        </w:rPr>
        <w:t>7</w:t>
      </w:r>
      <w:r w:rsidRPr="00ED15FF">
        <w:rPr>
          <w:rFonts w:hint="eastAsia"/>
          <w:color w:val="000000"/>
          <w:sz w:val="24"/>
        </w:rPr>
        <w:t>日</w:t>
      </w:r>
    </w:p>
    <w:p w14:paraId="0096840E" w14:textId="77777777" w:rsidR="004F5B35" w:rsidRPr="00ED15FF" w:rsidRDefault="008C7F89">
      <w:pPr>
        <w:spacing w:line="360" w:lineRule="auto"/>
        <w:ind w:firstLine="480"/>
        <w:rPr>
          <w:rFonts w:ascii="宋体"/>
          <w:sz w:val="24"/>
        </w:rPr>
      </w:pPr>
      <w:r w:rsidRPr="00ED15FF">
        <w:rPr>
          <w:rFonts w:ascii="宋体" w:hAnsi="宋体" w:hint="eastAsia"/>
          <w:sz w:val="24"/>
        </w:rPr>
        <w:t>批准设立机关：中国证监会</w:t>
      </w:r>
    </w:p>
    <w:p w14:paraId="2954AB49" w14:textId="77777777" w:rsidR="004F5B35" w:rsidRPr="00ED15FF" w:rsidRDefault="008C7F89">
      <w:pPr>
        <w:spacing w:line="360" w:lineRule="auto"/>
        <w:ind w:firstLine="480"/>
        <w:rPr>
          <w:rFonts w:ascii="宋体"/>
          <w:sz w:val="24"/>
        </w:rPr>
      </w:pPr>
      <w:r w:rsidRPr="00ED15FF">
        <w:rPr>
          <w:rFonts w:ascii="宋体" w:hAnsi="宋体" w:hint="eastAsia"/>
          <w:sz w:val="24"/>
        </w:rPr>
        <w:t>批准设立文号：证监许可【2010】1917号</w:t>
      </w:r>
    </w:p>
    <w:p w14:paraId="303BCAB7"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经营范围：发起设立基金、基金管理及中国证监会批准的其他业务</w:t>
      </w:r>
    </w:p>
    <w:p w14:paraId="00DCA07E"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注册资本：人民币</w:t>
      </w:r>
      <w:r w:rsidRPr="00ED15FF">
        <w:rPr>
          <w:rFonts w:hint="eastAsia"/>
          <w:bCs/>
          <w:sz w:val="24"/>
        </w:rPr>
        <w:t>130,000</w:t>
      </w:r>
      <w:r w:rsidRPr="00ED15FF">
        <w:rPr>
          <w:rFonts w:ascii="宋体" w:hAnsi="宋体" w:hint="eastAsia"/>
          <w:sz w:val="24"/>
        </w:rPr>
        <w:t>万元</w:t>
      </w:r>
    </w:p>
    <w:p w14:paraId="2B05C0FA"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组织形式：有限责任公司（中外合资）</w:t>
      </w:r>
    </w:p>
    <w:p w14:paraId="16C905B0" w14:textId="77777777" w:rsidR="004F5B35" w:rsidRPr="00ED15FF" w:rsidRDefault="008C7F89">
      <w:pPr>
        <w:spacing w:line="360" w:lineRule="auto"/>
        <w:ind w:firstLine="480"/>
        <w:rPr>
          <w:rFonts w:ascii="宋体" w:hAnsi="宋体"/>
          <w:sz w:val="24"/>
        </w:rPr>
      </w:pPr>
      <w:r w:rsidRPr="00ED15FF">
        <w:rPr>
          <w:rFonts w:ascii="宋体" w:hAnsi="宋体"/>
          <w:sz w:val="24"/>
        </w:rPr>
        <w:t>存续期间：</w:t>
      </w:r>
      <w:bookmarkStart w:id="11" w:name="_Toc22454434"/>
      <w:bookmarkStart w:id="12" w:name="_Toc77662993"/>
      <w:r w:rsidRPr="00ED15FF">
        <w:rPr>
          <w:rFonts w:ascii="宋体" w:hAnsi="宋体" w:hint="eastAsia"/>
          <w:sz w:val="24"/>
        </w:rPr>
        <w:t>持续经营</w:t>
      </w:r>
    </w:p>
    <w:p w14:paraId="38EBE384"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（二）基金托管人</w:t>
      </w:r>
      <w:bookmarkEnd w:id="11"/>
      <w:bookmarkEnd w:id="12"/>
    </w:p>
    <w:p w14:paraId="4C8409BB"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公司法定中文名称：交通银行股份有限公司（简称：交通银行）</w:t>
      </w:r>
    </w:p>
    <w:p w14:paraId="00762F6B"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公司法定英文名称：BANK OF COMMUNICATIONS CO.,LTD</w:t>
      </w:r>
    </w:p>
    <w:p w14:paraId="5105BF3D"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住 所：中国（上海）自由贸易试验区银城中路188号</w:t>
      </w:r>
    </w:p>
    <w:p w14:paraId="648656CF"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办公地址：上海市长宁区仙霞路18号</w:t>
      </w:r>
    </w:p>
    <w:p w14:paraId="10BD2BBA"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法定代表人：任德奇</w:t>
      </w:r>
    </w:p>
    <w:p w14:paraId="444340F5"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邮政编码：200120</w:t>
      </w:r>
    </w:p>
    <w:p w14:paraId="631FCE4B"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注册时间：1987年3月30日</w:t>
      </w:r>
    </w:p>
    <w:p w14:paraId="563A0489"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注册资本：742.63亿元</w:t>
      </w:r>
    </w:p>
    <w:p w14:paraId="0ACCEE30"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基金托管资格批文及文号：中国证监会证监基字[1998]25号</w:t>
      </w:r>
    </w:p>
    <w:p w14:paraId="72DA68EC" w14:textId="77777777" w:rsidR="004F5B35" w:rsidRPr="00ED15FF" w:rsidRDefault="008C7F89">
      <w:pPr>
        <w:spacing w:line="360" w:lineRule="auto"/>
        <w:ind w:firstLine="480"/>
        <w:rPr>
          <w:rFonts w:ascii="宋体"/>
          <w:sz w:val="24"/>
        </w:rPr>
      </w:pPr>
      <w:r w:rsidRPr="00ED15FF">
        <w:rPr>
          <w:rFonts w:ascii="宋体" w:hAnsi="宋体" w:hint="eastAsia"/>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3FF81C7F" w14:textId="77777777" w:rsidR="004F5B35" w:rsidRPr="00ED15FF" w:rsidRDefault="008C7F89">
      <w:pPr>
        <w:spacing w:line="360" w:lineRule="auto"/>
        <w:ind w:firstLine="480"/>
        <w:rPr>
          <w:rFonts w:ascii="宋体"/>
          <w:sz w:val="24"/>
        </w:rPr>
      </w:pPr>
      <w:r w:rsidRPr="00ED15FF">
        <w:rPr>
          <w:rFonts w:ascii="宋体" w:hAnsi="宋体" w:hint="eastAsia"/>
          <w:sz w:val="24"/>
        </w:rPr>
        <w:t>组织形式：股份有限公司</w:t>
      </w:r>
    </w:p>
    <w:p w14:paraId="2C6A0A3B" w14:textId="77777777" w:rsidR="004F5B35" w:rsidRPr="00ED15FF" w:rsidRDefault="008C7F89">
      <w:pPr>
        <w:spacing w:line="360" w:lineRule="auto"/>
        <w:ind w:firstLine="480"/>
        <w:rPr>
          <w:rFonts w:ascii="宋体"/>
          <w:sz w:val="24"/>
        </w:rPr>
      </w:pPr>
      <w:r w:rsidRPr="00ED15FF">
        <w:rPr>
          <w:rFonts w:ascii="宋体" w:hAnsi="宋体" w:hint="eastAsia"/>
          <w:sz w:val="24"/>
        </w:rPr>
        <w:lastRenderedPageBreak/>
        <w:t>存续期间：持续经营</w:t>
      </w:r>
    </w:p>
    <w:p w14:paraId="7B1747F5" w14:textId="77777777" w:rsidR="004F5B35" w:rsidRPr="00ED15FF" w:rsidRDefault="008C7F89">
      <w:pPr>
        <w:pStyle w:val="117"/>
      </w:pPr>
      <w:bookmarkStart w:id="13" w:name="_Toc466788852"/>
      <w:bookmarkStart w:id="14" w:name="_Toc523829993"/>
      <w:bookmarkStart w:id="15" w:name="_Toc22454435"/>
      <w:bookmarkStart w:id="16" w:name="_Toc125892438"/>
      <w:bookmarkStart w:id="17" w:name="_Toc516233742"/>
      <w:r w:rsidRPr="00ED15FF">
        <w:t>二、基金托管协议的依据、目的和原则</w:t>
      </w:r>
      <w:bookmarkEnd w:id="13"/>
      <w:bookmarkEnd w:id="14"/>
      <w:bookmarkEnd w:id="15"/>
      <w:bookmarkEnd w:id="16"/>
      <w:bookmarkEnd w:id="17"/>
    </w:p>
    <w:p w14:paraId="473069A1" w14:textId="67608B35" w:rsidR="004F5B35" w:rsidRPr="00ED15FF" w:rsidRDefault="008C7F89">
      <w:pPr>
        <w:spacing w:line="360" w:lineRule="auto"/>
        <w:ind w:firstLine="480"/>
        <w:rPr>
          <w:rFonts w:ascii="宋体"/>
          <w:sz w:val="24"/>
        </w:rPr>
      </w:pPr>
      <w:r w:rsidRPr="00ED15FF">
        <w:rPr>
          <w:rFonts w:ascii="宋体" w:hAnsi="宋体" w:hint="eastAsia"/>
          <w:sz w:val="24"/>
        </w:rPr>
        <w:t>本协议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平安策略回报混合型证券投资基金基金合同》（以下简称《基金合同》）及其他有关规定订立。</w:t>
      </w:r>
    </w:p>
    <w:p w14:paraId="2751276C" w14:textId="77777777" w:rsidR="004F5B35" w:rsidRPr="00ED15FF" w:rsidRDefault="008C7F89">
      <w:pPr>
        <w:spacing w:line="360" w:lineRule="auto"/>
        <w:ind w:firstLine="480"/>
        <w:rPr>
          <w:rFonts w:ascii="宋体"/>
          <w:sz w:val="24"/>
        </w:rPr>
      </w:pPr>
      <w:r w:rsidRPr="00ED15FF">
        <w:rPr>
          <w:rFonts w:ascii="宋体" w:hAnsi="宋体" w:hint="eastAsia"/>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14:paraId="6F621D38" w14:textId="77777777" w:rsidR="004F5B35" w:rsidRPr="00ED15FF" w:rsidRDefault="008C7F89">
      <w:pPr>
        <w:spacing w:line="360" w:lineRule="auto"/>
        <w:ind w:firstLine="480"/>
        <w:rPr>
          <w:rFonts w:ascii="宋体"/>
          <w:sz w:val="24"/>
        </w:rPr>
      </w:pPr>
      <w:r w:rsidRPr="00ED15FF">
        <w:rPr>
          <w:rFonts w:ascii="宋体" w:hAnsi="宋体" w:hint="eastAsia"/>
          <w:sz w:val="24"/>
        </w:rPr>
        <w:t>基金管理人和基金托管人遵循平等自愿、诚实信用、充分保护投资者合法利益的原则，经协商一致，签订本协议。</w:t>
      </w:r>
    </w:p>
    <w:p w14:paraId="2207D605" w14:textId="77777777" w:rsidR="004F5B35" w:rsidRPr="00ED15FF" w:rsidRDefault="008C7F89">
      <w:pPr>
        <w:pStyle w:val="117"/>
        <w:rPr>
          <w:rFonts w:hAnsi="宋体"/>
          <w:b w:val="0"/>
          <w:bCs/>
        </w:rPr>
      </w:pPr>
      <w:bookmarkStart w:id="18" w:name="_Toc466788853"/>
      <w:bookmarkStart w:id="19" w:name="_Toc523829994"/>
      <w:bookmarkStart w:id="20" w:name="_Toc22454436"/>
      <w:bookmarkStart w:id="21" w:name="_Toc125892439"/>
      <w:bookmarkStart w:id="22" w:name="_Toc516233743"/>
      <w:r w:rsidRPr="00ED15FF">
        <w:rPr>
          <w:rFonts w:hint="eastAsia"/>
        </w:rPr>
        <w:t>三、基金托管人对基金管理人</w:t>
      </w:r>
      <w:bookmarkEnd w:id="18"/>
      <w:r w:rsidRPr="00ED15FF">
        <w:t>的业务监督和核查</w:t>
      </w:r>
      <w:bookmarkEnd w:id="19"/>
      <w:bookmarkEnd w:id="20"/>
      <w:bookmarkEnd w:id="21"/>
      <w:bookmarkEnd w:id="22"/>
    </w:p>
    <w:p w14:paraId="21AA4E37"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（一）基金托管人对基金管理人的投资行为行使监督权</w:t>
      </w:r>
    </w:p>
    <w:p w14:paraId="1D876A00" w14:textId="77777777" w:rsidR="004F5B35" w:rsidRPr="00ED15FF" w:rsidRDefault="008C7F89">
      <w:pPr>
        <w:tabs>
          <w:tab w:val="left" w:pos="3780"/>
        </w:tabs>
        <w:spacing w:line="360" w:lineRule="auto"/>
        <w:ind w:firstLine="472"/>
        <w:outlineLvl w:val="0"/>
        <w:rPr>
          <w:rFonts w:ascii="宋体"/>
          <w:b/>
          <w:bCs/>
          <w:sz w:val="24"/>
        </w:rPr>
      </w:pPr>
      <w:r w:rsidRPr="00ED15FF">
        <w:rPr>
          <w:rFonts w:ascii="宋体" w:hAnsi="宋体" w:hint="eastAsia"/>
          <w:b/>
          <w:bCs/>
          <w:sz w:val="24"/>
        </w:rPr>
        <w:t>（1）基金托管人根据有关法律法规的规定及《基金合同》和本协议的约定，对基金的投资范围、投资对象进行监督。</w:t>
      </w:r>
    </w:p>
    <w:p w14:paraId="6EFA498E" w14:textId="7DC96D02" w:rsidR="004F5B35" w:rsidRPr="00ED15FF" w:rsidRDefault="008C7F89">
      <w:pPr>
        <w:spacing w:line="360" w:lineRule="auto"/>
        <w:ind w:firstLine="480"/>
        <w:rPr>
          <w:rFonts w:ascii="宋体" w:hAnsi="宋体"/>
          <w:sz w:val="24"/>
        </w:rPr>
      </w:pPr>
      <w:r w:rsidRPr="00ED15FF">
        <w:rPr>
          <w:rFonts w:ascii="宋体" w:hAnsi="宋体" w:hint="eastAsia"/>
          <w:sz w:val="24"/>
        </w:rPr>
        <w:t>本基金的投资范围包括国内依法发行上市的股票（包括主板、创业板及其他中国证监会允许基金投资的股票</w:t>
      </w:r>
      <w:r w:rsidRPr="00ED15FF">
        <w:rPr>
          <w:rFonts w:hint="eastAsia"/>
          <w:bCs/>
          <w:sz w:val="24"/>
        </w:rPr>
        <w:t>、存托凭证</w:t>
      </w:r>
      <w:r w:rsidRPr="00ED15FF">
        <w:rPr>
          <w:rFonts w:ascii="宋体" w:hAnsi="宋体" w:hint="eastAsia"/>
          <w:sz w:val="24"/>
        </w:rPr>
        <w:t>）、港股通标的股票、衍生工具（股指期货、国债期货、股票期权）、债券（包括国债、央行票据、金融债券、企业债券、公司债券、次级债券、可转换债券、分离交易可转换债券、可交换债券、中期票据、短期融资券、超短期融资券、地方政府债券、政府支持机构债券、政府支持债券）、资产支持证券、信用衍生品、债券回购、银行存款（包括协议存款、定期存款及其他银行存款）、同业存单、货币市场工具、现金等，以及法律法规或中国证监会允许基金投资的其他金融工具，但须符合中国证监会的相关规定。</w:t>
      </w:r>
    </w:p>
    <w:p w14:paraId="12E4B856"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如法律法规或监管机构以后允许基金投资其他品种，基金管理人在履行适</w:t>
      </w:r>
      <w:r w:rsidRPr="00ED15FF">
        <w:rPr>
          <w:rFonts w:ascii="宋体" w:hAnsi="宋体" w:hint="eastAsia"/>
          <w:sz w:val="24"/>
        </w:rPr>
        <w:lastRenderedPageBreak/>
        <w:t>当程序后，可以将其纳入投资范围。</w:t>
      </w:r>
    </w:p>
    <w:p w14:paraId="6B807682"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本基金股票资产</w:t>
      </w:r>
      <w:r w:rsidRPr="00ED15FF">
        <w:rPr>
          <w:rFonts w:hint="eastAsia"/>
          <w:bCs/>
          <w:sz w:val="24"/>
        </w:rPr>
        <w:t>（含存托凭证）</w:t>
      </w:r>
      <w:r w:rsidRPr="00ED15FF">
        <w:rPr>
          <w:rFonts w:ascii="宋体" w:hAnsi="宋体" w:hint="eastAsia"/>
          <w:sz w:val="24"/>
        </w:rPr>
        <w:t>占基金资产的比例为60%-95%，投资于港股通标的股票的比例占股票资产</w:t>
      </w:r>
      <w:r w:rsidRPr="00ED15FF">
        <w:rPr>
          <w:rFonts w:hint="eastAsia"/>
          <w:bCs/>
          <w:sz w:val="24"/>
        </w:rPr>
        <w:t>（含存托凭证）</w:t>
      </w:r>
      <w:r w:rsidRPr="00ED15FF">
        <w:rPr>
          <w:rFonts w:ascii="宋体" w:hAnsi="宋体" w:hint="eastAsia"/>
          <w:sz w:val="24"/>
        </w:rPr>
        <w:t>的0-50%。每个交易日日终在扣除股指期货、国债期货和股票期权合约需缴纳的交易保证金后，保持不低于基金资产净值5％的现金或者到期日在一年以内的政府债券。现金不包括结算备付金、存出保证金、应收申购款等。股指期货、国债期货、股票期权合约的投资比例遵循国家相关法律法规。</w:t>
      </w:r>
    </w:p>
    <w:p w14:paraId="3A4F4D11" w14:textId="77777777" w:rsidR="004F5B35" w:rsidRPr="00ED15FF" w:rsidRDefault="008C7F89">
      <w:pPr>
        <w:spacing w:line="360" w:lineRule="auto"/>
        <w:ind w:firstLine="480"/>
        <w:rPr>
          <w:rFonts w:ascii="宋体"/>
          <w:sz w:val="24"/>
        </w:rPr>
      </w:pPr>
      <w:r w:rsidRPr="00ED15FF">
        <w:rPr>
          <w:rFonts w:ascii="宋体" w:hAnsi="宋体" w:hint="eastAsia"/>
          <w:sz w:val="24"/>
        </w:rPr>
        <w:t>如果法律法规或中国证监会允许基金变更投资品种的投资比例限制，基金管理人在履行适当程序后，可以调整上述投资品种的投资比例。</w:t>
      </w:r>
    </w:p>
    <w:p w14:paraId="0F4C5820" w14:textId="77777777" w:rsidR="004F5B35" w:rsidRPr="00ED15FF" w:rsidRDefault="008C7F89">
      <w:pPr>
        <w:tabs>
          <w:tab w:val="left" w:pos="3780"/>
        </w:tabs>
        <w:spacing w:line="360" w:lineRule="auto"/>
        <w:ind w:firstLine="354"/>
        <w:outlineLvl w:val="0"/>
        <w:rPr>
          <w:rFonts w:ascii="宋体"/>
          <w:b/>
          <w:bCs/>
          <w:sz w:val="24"/>
        </w:rPr>
      </w:pPr>
      <w:r w:rsidRPr="00ED15FF">
        <w:rPr>
          <w:rFonts w:ascii="宋体" w:hAnsi="宋体" w:hint="eastAsia"/>
          <w:b/>
          <w:bCs/>
          <w:sz w:val="24"/>
        </w:rPr>
        <w:t>（2）基金托管人根据有关法律法规的规定及《基金合同》和本协议的约定，对基金投资比例进行监督。</w:t>
      </w:r>
    </w:p>
    <w:p w14:paraId="7EDD7A05" w14:textId="77777777" w:rsidR="004F5B35" w:rsidRPr="00ED15FF" w:rsidRDefault="008C7F89">
      <w:pPr>
        <w:tabs>
          <w:tab w:val="num" w:pos="1260"/>
        </w:tabs>
        <w:spacing w:line="336" w:lineRule="auto"/>
        <w:ind w:firstLine="480"/>
        <w:rPr>
          <w:rFonts w:ascii="宋体"/>
          <w:sz w:val="24"/>
        </w:rPr>
      </w:pPr>
      <w:r w:rsidRPr="00ED15FF">
        <w:rPr>
          <w:rFonts w:ascii="宋体" w:hAnsi="宋体" w:hint="eastAsia"/>
          <w:sz w:val="24"/>
        </w:rPr>
        <w:t>根据《基金合同》的约定，本基金投资组合比例应符合以下规定：</w:t>
      </w:r>
    </w:p>
    <w:p w14:paraId="119F0D14"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股票资产（含存托凭证）占基金资产的比例为</w:t>
      </w:r>
      <w:r w:rsidRPr="00ED15FF">
        <w:rPr>
          <w:rFonts w:hint="eastAsia"/>
          <w:bCs/>
          <w:sz w:val="24"/>
        </w:rPr>
        <w:t>60%-95%</w:t>
      </w:r>
      <w:r w:rsidRPr="00ED15FF">
        <w:rPr>
          <w:rFonts w:hint="eastAsia"/>
          <w:bCs/>
          <w:sz w:val="24"/>
        </w:rPr>
        <w:t>，投资于港股通标的股票的比例占股票资产（含存托凭证）的</w:t>
      </w:r>
      <w:r w:rsidRPr="00ED15FF">
        <w:rPr>
          <w:rFonts w:hint="eastAsia"/>
          <w:bCs/>
          <w:sz w:val="24"/>
        </w:rPr>
        <w:t>0-50%</w:t>
      </w:r>
      <w:r w:rsidRPr="00ED15FF">
        <w:rPr>
          <w:rFonts w:hint="eastAsia"/>
          <w:bCs/>
          <w:sz w:val="24"/>
        </w:rPr>
        <w:t>；</w:t>
      </w:r>
    </w:p>
    <w:p w14:paraId="1DC5641A"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每个交易日日终在扣除股指期货、国债期货和股票期权合约需缴纳的交易保证金后，基金保留的现金或到期日在一年以内的政府债券的投资比例不低于基金资产净值的</w:t>
      </w:r>
      <w:r w:rsidRPr="00ED15FF">
        <w:rPr>
          <w:rFonts w:hint="eastAsia"/>
          <w:bCs/>
          <w:sz w:val="24"/>
        </w:rPr>
        <w:t>5%</w:t>
      </w:r>
      <w:r w:rsidRPr="00ED15FF">
        <w:rPr>
          <w:rFonts w:hint="eastAsia"/>
          <w:bCs/>
          <w:sz w:val="24"/>
        </w:rPr>
        <w:t>，现金不包括结算备付金、存出保证金、应收申购款等；</w:t>
      </w:r>
      <w:r w:rsidRPr="00ED15FF">
        <w:rPr>
          <w:bCs/>
          <w:sz w:val="24"/>
        </w:rPr>
        <w:t xml:space="preserve"> </w:t>
      </w:r>
    </w:p>
    <w:p w14:paraId="389DF6E3" w14:textId="3367D020"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本基金持有一家公司发行的证券（同一家公司在内地和香港同时上市的</w:t>
      </w:r>
      <w:r w:rsidRPr="00ED15FF">
        <w:rPr>
          <w:bCs/>
          <w:sz w:val="24"/>
        </w:rPr>
        <w:t xml:space="preserve"> A+H </w:t>
      </w:r>
      <w:r w:rsidRPr="00ED15FF">
        <w:rPr>
          <w:rFonts w:hint="eastAsia"/>
          <w:bCs/>
          <w:sz w:val="24"/>
        </w:rPr>
        <w:t>股合计计算），其市值不超过基金资产净值的</w:t>
      </w:r>
      <w:r w:rsidRPr="00ED15FF">
        <w:rPr>
          <w:bCs/>
          <w:sz w:val="24"/>
        </w:rPr>
        <w:t>10</w:t>
      </w:r>
      <w:r w:rsidRPr="00ED15FF">
        <w:rPr>
          <w:rFonts w:hint="eastAsia"/>
          <w:bCs/>
          <w:sz w:val="24"/>
        </w:rPr>
        <w:t>%</w:t>
      </w:r>
      <w:r w:rsidRPr="00ED15FF">
        <w:rPr>
          <w:bCs/>
          <w:sz w:val="24"/>
        </w:rPr>
        <w:t xml:space="preserve">;   </w:t>
      </w:r>
    </w:p>
    <w:p w14:paraId="1F153A35" w14:textId="30A832C5"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本基金管理人管理的全部基金持有一家公司发行的证券（同一家公司在内地和香港同时上市的</w:t>
      </w:r>
      <w:r w:rsidRPr="00ED15FF">
        <w:rPr>
          <w:bCs/>
          <w:sz w:val="24"/>
        </w:rPr>
        <w:t xml:space="preserve"> A+H </w:t>
      </w:r>
      <w:r w:rsidRPr="00ED15FF">
        <w:rPr>
          <w:rFonts w:hint="eastAsia"/>
          <w:bCs/>
          <w:sz w:val="24"/>
        </w:rPr>
        <w:t>股合计计算），不超过该证券的</w:t>
      </w:r>
      <w:r w:rsidRPr="00ED15FF">
        <w:rPr>
          <w:bCs/>
          <w:sz w:val="24"/>
        </w:rPr>
        <w:t>10</w:t>
      </w:r>
      <w:r w:rsidRPr="00ED15FF">
        <w:rPr>
          <w:rFonts w:hint="eastAsia"/>
          <w:bCs/>
          <w:sz w:val="24"/>
        </w:rPr>
        <w:t>％；</w:t>
      </w:r>
    </w:p>
    <w:p w14:paraId="0C66D1A2"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本基金投资于同一原始权益人的各类资产支持证券的比例，不得超过基金资产净值的</w:t>
      </w:r>
      <w:r w:rsidRPr="00ED15FF">
        <w:rPr>
          <w:bCs/>
          <w:sz w:val="24"/>
        </w:rPr>
        <w:t>10</w:t>
      </w:r>
      <w:r w:rsidRPr="00ED15FF">
        <w:rPr>
          <w:rFonts w:hint="eastAsia"/>
          <w:bCs/>
          <w:sz w:val="24"/>
        </w:rPr>
        <w:t>％；</w:t>
      </w:r>
      <w:r w:rsidRPr="00ED15FF">
        <w:rPr>
          <w:bCs/>
          <w:sz w:val="24"/>
        </w:rPr>
        <w:t xml:space="preserve"> </w:t>
      </w:r>
    </w:p>
    <w:p w14:paraId="5F84E72D"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本基金持有的全部资产支持证券，其市值不得超过基金资产净值的</w:t>
      </w:r>
      <w:r w:rsidRPr="00ED15FF">
        <w:rPr>
          <w:bCs/>
          <w:sz w:val="24"/>
        </w:rPr>
        <w:t>20</w:t>
      </w:r>
      <w:r w:rsidRPr="00ED15FF">
        <w:rPr>
          <w:rFonts w:hint="eastAsia"/>
          <w:bCs/>
          <w:sz w:val="24"/>
        </w:rPr>
        <w:t>％；</w:t>
      </w:r>
    </w:p>
    <w:p w14:paraId="08A59373"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本基金持有的同一</w:t>
      </w:r>
      <w:r w:rsidRPr="00ED15FF">
        <w:rPr>
          <w:bCs/>
          <w:sz w:val="24"/>
        </w:rPr>
        <w:t>(</w:t>
      </w:r>
      <w:r w:rsidRPr="00ED15FF">
        <w:rPr>
          <w:rFonts w:hint="eastAsia"/>
          <w:bCs/>
          <w:sz w:val="24"/>
        </w:rPr>
        <w:t>指同一信用级别</w:t>
      </w:r>
      <w:r w:rsidRPr="00ED15FF">
        <w:rPr>
          <w:bCs/>
          <w:sz w:val="24"/>
        </w:rPr>
        <w:t>)</w:t>
      </w:r>
      <w:r w:rsidRPr="00ED15FF">
        <w:rPr>
          <w:rFonts w:hint="eastAsia"/>
          <w:bCs/>
          <w:sz w:val="24"/>
        </w:rPr>
        <w:t>资产支持证券的比例，不得超过该资产支持证券规模的</w:t>
      </w:r>
      <w:r w:rsidRPr="00ED15FF">
        <w:rPr>
          <w:bCs/>
          <w:sz w:val="24"/>
        </w:rPr>
        <w:t>10</w:t>
      </w:r>
      <w:r w:rsidRPr="00ED15FF">
        <w:rPr>
          <w:rFonts w:hint="eastAsia"/>
          <w:bCs/>
          <w:sz w:val="24"/>
        </w:rPr>
        <w:t>％；</w:t>
      </w:r>
    </w:p>
    <w:p w14:paraId="53165E0B"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本基金管理人管理的全部基金投资于同一原始权益人的各类资产支持证券，不得超过其各类资产支持证券合计规模的</w:t>
      </w:r>
      <w:r w:rsidRPr="00ED15FF">
        <w:rPr>
          <w:bCs/>
          <w:sz w:val="24"/>
        </w:rPr>
        <w:t>10</w:t>
      </w:r>
      <w:r w:rsidRPr="00ED15FF">
        <w:rPr>
          <w:rFonts w:hint="eastAsia"/>
          <w:bCs/>
          <w:sz w:val="24"/>
        </w:rPr>
        <w:t>％；</w:t>
      </w:r>
    </w:p>
    <w:p w14:paraId="1C22BFD6"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lastRenderedPageBreak/>
        <w:t>本基金应投资于信用级别评级为</w:t>
      </w:r>
      <w:r w:rsidRPr="00ED15FF">
        <w:rPr>
          <w:bCs/>
          <w:sz w:val="24"/>
        </w:rPr>
        <w:t xml:space="preserve"> BBB </w:t>
      </w:r>
      <w:r w:rsidRPr="00ED15FF">
        <w:rPr>
          <w:rFonts w:hint="eastAsia"/>
          <w:bCs/>
          <w:sz w:val="24"/>
        </w:rPr>
        <w:t>以上</w:t>
      </w:r>
      <w:r w:rsidRPr="00ED15FF">
        <w:rPr>
          <w:bCs/>
          <w:sz w:val="24"/>
        </w:rPr>
        <w:t>(</w:t>
      </w:r>
      <w:r w:rsidRPr="00ED15FF">
        <w:rPr>
          <w:rFonts w:hint="eastAsia"/>
          <w:bCs/>
          <w:sz w:val="24"/>
        </w:rPr>
        <w:t>含</w:t>
      </w:r>
      <w:r w:rsidRPr="00ED15FF">
        <w:rPr>
          <w:bCs/>
          <w:sz w:val="24"/>
        </w:rPr>
        <w:t xml:space="preserve"> BBB)</w:t>
      </w:r>
      <w:r w:rsidRPr="00ED15FF">
        <w:rPr>
          <w:rFonts w:hint="eastAsia"/>
          <w:bCs/>
          <w:sz w:val="24"/>
        </w:rPr>
        <w:t>的资产支持证券。基金持有资产支持证券期间，如果其信用等级下降、不再符合投资标准，应在评级报告发布之日起</w:t>
      </w:r>
      <w:r w:rsidRPr="00ED15FF">
        <w:rPr>
          <w:bCs/>
          <w:sz w:val="24"/>
        </w:rPr>
        <w:t>3</w:t>
      </w:r>
      <w:r w:rsidRPr="00ED15FF">
        <w:rPr>
          <w:rFonts w:hint="eastAsia"/>
          <w:bCs/>
          <w:sz w:val="24"/>
        </w:rPr>
        <w:t>个月内予以全部卖出；</w:t>
      </w:r>
    </w:p>
    <w:p w14:paraId="7C264789"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基金财产参与股票发行申购，本基金所申报的金额不超过本基金的总资产，本基金所申报的股票数量不超过拟发行股票公司本次发行股票的总量；</w:t>
      </w:r>
      <w:r w:rsidRPr="00ED15FF">
        <w:rPr>
          <w:bCs/>
          <w:sz w:val="24"/>
        </w:rPr>
        <w:t xml:space="preserve"> </w:t>
      </w:r>
    </w:p>
    <w:p w14:paraId="639347F5"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本基金参与债券正回购资金余额或逆回购资金余额不得超过其上一日基金净值的</w:t>
      </w:r>
      <w:r w:rsidRPr="00ED15FF">
        <w:rPr>
          <w:rFonts w:hint="eastAsia"/>
          <w:bCs/>
          <w:sz w:val="24"/>
        </w:rPr>
        <w:t>40%</w:t>
      </w:r>
      <w:r w:rsidRPr="00ED15FF">
        <w:rPr>
          <w:rFonts w:hint="eastAsia"/>
          <w:bCs/>
          <w:sz w:val="24"/>
        </w:rPr>
        <w:t>，本基金进入全国银行间同业市场进行债券回购的最长期限为</w:t>
      </w:r>
      <w:r w:rsidRPr="00ED15FF">
        <w:rPr>
          <w:bCs/>
          <w:sz w:val="24"/>
        </w:rPr>
        <w:t>1</w:t>
      </w:r>
      <w:r w:rsidRPr="00ED15FF">
        <w:rPr>
          <w:rFonts w:hint="eastAsia"/>
          <w:bCs/>
          <w:sz w:val="24"/>
        </w:rPr>
        <w:t>年，债券回购到期后不得展期；</w:t>
      </w:r>
    </w:p>
    <w:p w14:paraId="243C5F24"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基金因未平仓的股票期权合约支付和收取的权利金总额不得超过基金资产净值的</w:t>
      </w:r>
      <w:r w:rsidRPr="00ED15FF">
        <w:rPr>
          <w:bCs/>
          <w:sz w:val="24"/>
        </w:rPr>
        <w:t>10%</w:t>
      </w:r>
      <w:r w:rsidRPr="00ED15FF">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ED15FF">
        <w:rPr>
          <w:bCs/>
          <w:sz w:val="24"/>
        </w:rPr>
        <w:t>20%</w:t>
      </w:r>
      <w:r w:rsidRPr="00ED15FF">
        <w:rPr>
          <w:rFonts w:hint="eastAsia"/>
          <w:bCs/>
          <w:sz w:val="24"/>
        </w:rPr>
        <w:t>。其中，合约面值按照行权价乘以合约乘数计算；</w:t>
      </w:r>
    </w:p>
    <w:p w14:paraId="3B1AB973" w14:textId="6194F79F"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本基金在任何交易日日终，持有的买入股指期货、国债期货合约价值与有价证券市值之和，不得超过基金资产净值的</w:t>
      </w:r>
      <w:r w:rsidRPr="00ED15FF">
        <w:rPr>
          <w:bCs/>
          <w:sz w:val="24"/>
        </w:rPr>
        <w:t>95%</w:t>
      </w:r>
      <w:r w:rsidRPr="00ED15FF">
        <w:rPr>
          <w:rFonts w:hint="eastAsia"/>
          <w:bCs/>
          <w:sz w:val="24"/>
        </w:rPr>
        <w:t>。其中，有价证券指股票、债券（不含到期日在一年以内的政府债券）、资产支持证券、买入返售金融资产（不含质押式回购）等；</w:t>
      </w:r>
    </w:p>
    <w:p w14:paraId="0B4954A9"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本基金参与股指期货交易，应当符合下列投资限制：</w:t>
      </w:r>
    </w:p>
    <w:p w14:paraId="49343647" w14:textId="2AEC8C91" w:rsidR="004F5B35" w:rsidRPr="00ED15FF" w:rsidRDefault="008C7F89">
      <w:pPr>
        <w:spacing w:line="360" w:lineRule="auto"/>
        <w:ind w:firstLine="480"/>
        <w:jc w:val="left"/>
        <w:rPr>
          <w:bCs/>
          <w:sz w:val="24"/>
        </w:rPr>
      </w:pPr>
      <w:r w:rsidRPr="00ED15FF">
        <w:rPr>
          <w:bCs/>
          <w:sz w:val="24"/>
        </w:rPr>
        <w:t xml:space="preserve"> 1</w:t>
      </w:r>
      <w:r w:rsidRPr="00ED15FF">
        <w:rPr>
          <w:rFonts w:hint="eastAsia"/>
          <w:bCs/>
          <w:sz w:val="24"/>
        </w:rPr>
        <w:t>）在任何交易日日终，持有的买入股指期货合约价值不得超过基金资产净值的</w:t>
      </w:r>
      <w:r w:rsidRPr="00ED15FF">
        <w:rPr>
          <w:bCs/>
          <w:sz w:val="24"/>
        </w:rPr>
        <w:t>10%</w:t>
      </w:r>
      <w:r w:rsidRPr="00ED15FF">
        <w:rPr>
          <w:rFonts w:hint="eastAsia"/>
          <w:bCs/>
          <w:sz w:val="24"/>
        </w:rPr>
        <w:t>；</w:t>
      </w:r>
      <w:r w:rsidRPr="00ED15FF">
        <w:rPr>
          <w:bCs/>
          <w:sz w:val="24"/>
        </w:rPr>
        <w:t xml:space="preserve"> </w:t>
      </w:r>
    </w:p>
    <w:p w14:paraId="73131BDB" w14:textId="7646ED04" w:rsidR="004F5B35" w:rsidRPr="00ED15FF" w:rsidRDefault="008C7F89">
      <w:pPr>
        <w:spacing w:line="360" w:lineRule="auto"/>
        <w:ind w:firstLine="480"/>
        <w:jc w:val="left"/>
        <w:rPr>
          <w:bCs/>
          <w:sz w:val="24"/>
        </w:rPr>
      </w:pPr>
      <w:r w:rsidRPr="00ED15FF">
        <w:rPr>
          <w:bCs/>
          <w:sz w:val="24"/>
        </w:rPr>
        <w:t>2</w:t>
      </w:r>
      <w:r w:rsidRPr="00ED15FF">
        <w:rPr>
          <w:rFonts w:hint="eastAsia"/>
          <w:bCs/>
          <w:sz w:val="24"/>
        </w:rPr>
        <w:t>）本基金在任何交易日日终，持有的卖出股指期货合约价值不得超过基金持有的股票总市值的</w:t>
      </w:r>
      <w:r w:rsidRPr="00ED15FF">
        <w:rPr>
          <w:bCs/>
          <w:sz w:val="24"/>
        </w:rPr>
        <w:t>20%</w:t>
      </w:r>
      <w:r w:rsidRPr="00ED15FF">
        <w:rPr>
          <w:rFonts w:hint="eastAsia"/>
          <w:bCs/>
          <w:sz w:val="24"/>
        </w:rPr>
        <w:t>；</w:t>
      </w:r>
    </w:p>
    <w:p w14:paraId="3F208723" w14:textId="19FFAC70" w:rsidR="004F5B35" w:rsidRPr="00ED15FF" w:rsidRDefault="008C7F89">
      <w:pPr>
        <w:spacing w:line="360" w:lineRule="auto"/>
        <w:ind w:firstLine="480"/>
        <w:jc w:val="left"/>
        <w:rPr>
          <w:bCs/>
          <w:sz w:val="24"/>
        </w:rPr>
      </w:pPr>
      <w:r w:rsidRPr="00ED15FF">
        <w:rPr>
          <w:bCs/>
          <w:sz w:val="24"/>
        </w:rPr>
        <w:t>3</w:t>
      </w:r>
      <w:r w:rsidRPr="00ED15FF">
        <w:rPr>
          <w:rFonts w:hint="eastAsia"/>
          <w:bCs/>
          <w:sz w:val="24"/>
        </w:rPr>
        <w:t>）本基金所持有的股票市值和买入、卖出股指期货合约价值，合计（轧差计算）应当符合基金合同关于股票投资比例的有关约定；</w:t>
      </w:r>
      <w:r w:rsidRPr="00ED15FF">
        <w:rPr>
          <w:bCs/>
          <w:sz w:val="24"/>
        </w:rPr>
        <w:t xml:space="preserve"> </w:t>
      </w:r>
    </w:p>
    <w:p w14:paraId="5DED16D1" w14:textId="00871371" w:rsidR="004F5B35" w:rsidRPr="00ED15FF" w:rsidRDefault="008C7F89">
      <w:pPr>
        <w:spacing w:line="360" w:lineRule="auto"/>
        <w:ind w:firstLine="480"/>
        <w:jc w:val="left"/>
        <w:rPr>
          <w:bCs/>
          <w:sz w:val="24"/>
        </w:rPr>
      </w:pPr>
      <w:r w:rsidRPr="00ED15FF">
        <w:rPr>
          <w:bCs/>
          <w:sz w:val="24"/>
        </w:rPr>
        <w:t>4</w:t>
      </w:r>
      <w:r w:rsidRPr="00ED15FF">
        <w:rPr>
          <w:rFonts w:hint="eastAsia"/>
          <w:bCs/>
          <w:sz w:val="24"/>
        </w:rPr>
        <w:t>）本基金在任何交易日内交易（不包括平仓）的股指期货合约的成交金额不得超过上一交易日基金资产净值的</w:t>
      </w:r>
      <w:r w:rsidRPr="00ED15FF">
        <w:rPr>
          <w:bCs/>
          <w:sz w:val="24"/>
        </w:rPr>
        <w:t>20%</w:t>
      </w:r>
      <w:r w:rsidRPr="00ED15FF">
        <w:rPr>
          <w:rFonts w:hint="eastAsia"/>
          <w:bCs/>
          <w:sz w:val="24"/>
        </w:rPr>
        <w:t>；</w:t>
      </w:r>
      <w:r w:rsidRPr="00ED15FF">
        <w:rPr>
          <w:bCs/>
          <w:sz w:val="24"/>
        </w:rPr>
        <w:t xml:space="preserve"> </w:t>
      </w:r>
    </w:p>
    <w:p w14:paraId="6B91263E"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本基金参与国债期货交易，应当符合下列投资限制：</w:t>
      </w:r>
      <w:r w:rsidRPr="00ED15FF">
        <w:rPr>
          <w:bCs/>
          <w:sz w:val="24"/>
        </w:rPr>
        <w:t xml:space="preserve"> </w:t>
      </w:r>
    </w:p>
    <w:p w14:paraId="3A74FBF4" w14:textId="77777777" w:rsidR="004F5B35" w:rsidRPr="00ED15FF" w:rsidRDefault="008C7F89">
      <w:pPr>
        <w:spacing w:line="360" w:lineRule="auto"/>
        <w:ind w:firstLine="480"/>
        <w:jc w:val="left"/>
        <w:rPr>
          <w:bCs/>
          <w:sz w:val="24"/>
        </w:rPr>
      </w:pPr>
      <w:r w:rsidRPr="00ED15FF">
        <w:rPr>
          <w:bCs/>
          <w:sz w:val="24"/>
        </w:rPr>
        <w:t>1</w:t>
      </w:r>
      <w:r w:rsidRPr="00ED15FF">
        <w:rPr>
          <w:rFonts w:hint="eastAsia"/>
          <w:bCs/>
          <w:sz w:val="24"/>
        </w:rPr>
        <w:t>）本基金在任何交易日日终，持有的买入国债期货合约价值，不得超过基金资产净值的</w:t>
      </w:r>
      <w:r w:rsidRPr="00ED15FF">
        <w:rPr>
          <w:bCs/>
          <w:sz w:val="24"/>
        </w:rPr>
        <w:t>15%</w:t>
      </w:r>
      <w:r w:rsidRPr="00ED15FF">
        <w:rPr>
          <w:rFonts w:hint="eastAsia"/>
          <w:bCs/>
          <w:sz w:val="24"/>
        </w:rPr>
        <w:t>；</w:t>
      </w:r>
    </w:p>
    <w:p w14:paraId="34F29AFB" w14:textId="590185DB" w:rsidR="004F5B35" w:rsidRPr="00ED15FF" w:rsidRDefault="008C7F89">
      <w:pPr>
        <w:spacing w:line="360" w:lineRule="auto"/>
        <w:ind w:firstLine="480"/>
        <w:jc w:val="left"/>
        <w:rPr>
          <w:bCs/>
          <w:sz w:val="24"/>
        </w:rPr>
      </w:pPr>
      <w:r w:rsidRPr="00ED15FF">
        <w:rPr>
          <w:bCs/>
          <w:sz w:val="24"/>
        </w:rPr>
        <w:lastRenderedPageBreak/>
        <w:t>2</w:t>
      </w:r>
      <w:r w:rsidRPr="00ED15FF">
        <w:rPr>
          <w:rFonts w:hint="eastAsia"/>
          <w:bCs/>
          <w:sz w:val="24"/>
        </w:rPr>
        <w:t>）本基金在任何交易日日终，持有的卖出国债期货合约价值不得超过基金持有的债券总市值的</w:t>
      </w:r>
      <w:r w:rsidRPr="00ED15FF">
        <w:rPr>
          <w:bCs/>
          <w:sz w:val="24"/>
        </w:rPr>
        <w:t xml:space="preserve"> 30%</w:t>
      </w:r>
      <w:r w:rsidRPr="00ED15FF">
        <w:rPr>
          <w:rFonts w:hint="eastAsia"/>
          <w:bCs/>
          <w:sz w:val="24"/>
        </w:rPr>
        <w:t>；</w:t>
      </w:r>
    </w:p>
    <w:p w14:paraId="5A3052C5" w14:textId="77777777" w:rsidR="004F5B35" w:rsidRPr="00ED15FF" w:rsidRDefault="008C7F89">
      <w:pPr>
        <w:spacing w:line="360" w:lineRule="auto"/>
        <w:ind w:firstLine="480"/>
        <w:jc w:val="left"/>
        <w:rPr>
          <w:bCs/>
          <w:sz w:val="24"/>
        </w:rPr>
      </w:pPr>
      <w:r w:rsidRPr="00ED15FF">
        <w:rPr>
          <w:bCs/>
          <w:sz w:val="24"/>
        </w:rPr>
        <w:t>3</w:t>
      </w:r>
      <w:r w:rsidRPr="00ED15FF">
        <w:rPr>
          <w:rFonts w:hint="eastAsia"/>
          <w:bCs/>
          <w:sz w:val="24"/>
        </w:rPr>
        <w:t>）本基金在任何交易日内交易（不包括平仓）的国债期货合约的成交金额不得超过上一交易日基金资产净值的</w:t>
      </w:r>
      <w:r w:rsidRPr="00ED15FF">
        <w:rPr>
          <w:bCs/>
          <w:sz w:val="24"/>
        </w:rPr>
        <w:t>30%</w:t>
      </w:r>
      <w:r w:rsidRPr="00ED15FF">
        <w:rPr>
          <w:rFonts w:hint="eastAsia"/>
          <w:bCs/>
          <w:sz w:val="24"/>
        </w:rPr>
        <w:t>；</w:t>
      </w:r>
      <w:r w:rsidRPr="00ED15FF">
        <w:rPr>
          <w:bCs/>
          <w:sz w:val="24"/>
        </w:rPr>
        <w:t xml:space="preserve"> </w:t>
      </w:r>
    </w:p>
    <w:p w14:paraId="0AE42344" w14:textId="77777777" w:rsidR="004F5B35" w:rsidRPr="00ED15FF" w:rsidRDefault="008C7F89">
      <w:pPr>
        <w:spacing w:line="360" w:lineRule="auto"/>
        <w:ind w:firstLine="480"/>
        <w:jc w:val="left"/>
        <w:rPr>
          <w:bCs/>
          <w:sz w:val="24"/>
        </w:rPr>
      </w:pPr>
      <w:r w:rsidRPr="00ED15FF">
        <w:rPr>
          <w:bCs/>
          <w:sz w:val="24"/>
        </w:rPr>
        <w:t>4</w:t>
      </w:r>
      <w:r w:rsidRPr="00ED15FF">
        <w:rPr>
          <w:rFonts w:hint="eastAsia"/>
          <w:bCs/>
          <w:sz w:val="24"/>
        </w:rPr>
        <w:t>）本基金所持有的债券（不含到期日在一年以内的政府债券）市值和买入、卖出国债期货合约价值，合计（轧差计算）应当符合基金合同关于债券投资比例的有关约定；</w:t>
      </w:r>
      <w:r w:rsidRPr="00ED15FF">
        <w:rPr>
          <w:bCs/>
          <w:sz w:val="24"/>
        </w:rPr>
        <w:t xml:space="preserve"> </w:t>
      </w:r>
    </w:p>
    <w:p w14:paraId="6D29970E" w14:textId="7DD0F9B0"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bCs/>
          <w:sz w:val="24"/>
        </w:rPr>
        <w:t>本基金</w:t>
      </w:r>
      <w:r w:rsidRPr="00ED15FF">
        <w:rPr>
          <w:rFonts w:hint="eastAsia"/>
          <w:bCs/>
          <w:sz w:val="24"/>
        </w:rPr>
        <w:t>管理人管理的全部开放式基金（包括开放式基金以及处于开放期的定期开放基金）持有一家上市公司发行的可流通股票，不得超过该上市公司可流通股票的</w:t>
      </w:r>
      <w:r w:rsidRPr="00ED15FF">
        <w:rPr>
          <w:rFonts w:hint="eastAsia"/>
          <w:bCs/>
          <w:sz w:val="24"/>
        </w:rPr>
        <w:t>15%</w:t>
      </w:r>
      <w:r w:rsidRPr="00ED15FF">
        <w:rPr>
          <w:bCs/>
          <w:sz w:val="24"/>
        </w:rPr>
        <w:t>；</w:t>
      </w:r>
      <w:r w:rsidRPr="00ED15FF">
        <w:rPr>
          <w:rFonts w:hint="eastAsia"/>
          <w:bCs/>
          <w:sz w:val="24"/>
        </w:rPr>
        <w:t>本基金管理人管理的全部投资组合持有一家上市公司发行的可流通股票，不得超过该上市公司可流通股票的</w:t>
      </w:r>
      <w:r w:rsidRPr="00ED15FF">
        <w:rPr>
          <w:rFonts w:hint="eastAsia"/>
          <w:bCs/>
          <w:sz w:val="24"/>
        </w:rPr>
        <w:t>30%</w:t>
      </w:r>
      <w:r w:rsidRPr="00ED15FF">
        <w:rPr>
          <w:rFonts w:hint="eastAsia"/>
          <w:bCs/>
          <w:sz w:val="24"/>
        </w:rPr>
        <w:t>；</w:t>
      </w:r>
      <w:r w:rsidRPr="00ED15FF">
        <w:rPr>
          <w:bCs/>
          <w:sz w:val="24"/>
        </w:rPr>
        <w:t xml:space="preserve"> </w:t>
      </w:r>
    </w:p>
    <w:p w14:paraId="6F94EC7E"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本基金主动投资于流动性受限资产的市值合计不得超过基金资产净值的</w:t>
      </w:r>
      <w:r w:rsidRPr="00ED15FF">
        <w:rPr>
          <w:bCs/>
          <w:sz w:val="24"/>
        </w:rPr>
        <w:t>15%</w:t>
      </w:r>
      <w:r w:rsidRPr="00ED15FF">
        <w:rPr>
          <w:rFonts w:hint="eastAsia"/>
          <w:bCs/>
          <w:sz w:val="24"/>
        </w:rPr>
        <w:t>。因证券市场波动、上市公司股票停牌、基金规模变动等基金管理人之外的因素致使基金不符合该比例限制的，基金管理人不得主动新增流动性受限资产的投资；</w:t>
      </w:r>
      <w:r w:rsidRPr="00ED15FF">
        <w:rPr>
          <w:bCs/>
          <w:sz w:val="24"/>
        </w:rPr>
        <w:t xml:space="preserve"> </w:t>
      </w:r>
    </w:p>
    <w:p w14:paraId="3F419A14"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本基金与私募类证券资管产品及中国证监会认定的其他主体为交易对手开展逆回购交易的，可接受质押品的资质要求应当与基金合同约定的投资范围保持一致；</w:t>
      </w:r>
    </w:p>
    <w:p w14:paraId="52C0D84B"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bCs/>
          <w:sz w:val="24"/>
        </w:rPr>
        <w:t>本基金资产总值不超过基金资产净值的</w:t>
      </w:r>
      <w:r w:rsidRPr="00ED15FF">
        <w:rPr>
          <w:bCs/>
          <w:sz w:val="24"/>
        </w:rPr>
        <w:t>140%</w:t>
      </w:r>
      <w:r w:rsidRPr="00ED15FF">
        <w:rPr>
          <w:bCs/>
          <w:sz w:val="24"/>
        </w:rPr>
        <w:t>；</w:t>
      </w:r>
    </w:p>
    <w:p w14:paraId="4B3685B8" w14:textId="77777777" w:rsidR="004F5B35" w:rsidRPr="00ED15FF" w:rsidRDefault="008C7F89">
      <w:pPr>
        <w:pStyle w:val="aff5"/>
        <w:numPr>
          <w:ilvl w:val="0"/>
          <w:numId w:val="27"/>
        </w:numPr>
        <w:tabs>
          <w:tab w:val="left" w:pos="851"/>
          <w:tab w:val="left" w:pos="993"/>
        </w:tabs>
        <w:spacing w:line="360" w:lineRule="auto"/>
        <w:ind w:left="0" w:firstLine="426"/>
        <w:jc w:val="left"/>
        <w:rPr>
          <w:bCs/>
          <w:sz w:val="24"/>
        </w:rPr>
      </w:pPr>
      <w:r w:rsidRPr="00ED15FF">
        <w:rPr>
          <w:rFonts w:hint="eastAsia"/>
          <w:bCs/>
          <w:sz w:val="24"/>
        </w:rPr>
        <w:t>本基金不持有具有信用保护卖方属性的信用衍生品；不持有合约类信用衍生品；本基金持有的信用衍生品名义本金不得超过本基金中所对应受保护债券面值的</w:t>
      </w:r>
      <w:r w:rsidRPr="00ED15FF">
        <w:rPr>
          <w:rFonts w:hint="eastAsia"/>
          <w:bCs/>
          <w:sz w:val="24"/>
        </w:rPr>
        <w:t xml:space="preserve"> 100%</w:t>
      </w:r>
      <w:r w:rsidRPr="00ED15FF">
        <w:rPr>
          <w:rFonts w:hint="eastAsia"/>
          <w:bCs/>
          <w:sz w:val="24"/>
        </w:rPr>
        <w:t>；本基金投资于同一信用保护卖方的各类信用衍生品名义本金合计不得超过基金资产净值的</w:t>
      </w:r>
      <w:r w:rsidRPr="00ED15FF">
        <w:rPr>
          <w:rFonts w:hint="eastAsia"/>
          <w:bCs/>
          <w:sz w:val="24"/>
        </w:rPr>
        <w:t xml:space="preserve"> 10%</w:t>
      </w:r>
      <w:r w:rsidRPr="00ED15FF">
        <w:rPr>
          <w:rFonts w:hint="eastAsia"/>
          <w:bCs/>
          <w:sz w:val="24"/>
        </w:rPr>
        <w:t>；因证券市场波动、期货市场波动、证券发行人合并、基金规模变动等基金管理人之外的因素致使基金投资比例不符合上述规定投资比例的，基金管理人应当在</w:t>
      </w:r>
      <w:r w:rsidRPr="00ED15FF">
        <w:rPr>
          <w:rFonts w:hint="eastAsia"/>
          <w:bCs/>
          <w:sz w:val="24"/>
        </w:rPr>
        <w:t>3</w:t>
      </w:r>
      <w:r w:rsidRPr="00ED15FF">
        <w:rPr>
          <w:rFonts w:hint="eastAsia"/>
          <w:bCs/>
          <w:sz w:val="24"/>
        </w:rPr>
        <w:t>个月内进行调整；</w:t>
      </w:r>
    </w:p>
    <w:p w14:paraId="05B4C0D5" w14:textId="77777777" w:rsidR="004F5B35" w:rsidRPr="00ED15FF" w:rsidRDefault="008C7F89">
      <w:pPr>
        <w:pStyle w:val="unnamed1"/>
        <w:spacing w:line="360" w:lineRule="auto"/>
        <w:ind w:firstLine="480"/>
        <w:rPr>
          <w:rFonts w:hint="default"/>
          <w:sz w:val="24"/>
        </w:rPr>
      </w:pPr>
      <w:r w:rsidRPr="00ED15FF">
        <w:rPr>
          <w:rFonts w:ascii="Times New Roman" w:hAnsi="Times New Roman"/>
          <w:sz w:val="24"/>
        </w:rPr>
        <w:t>20</w:t>
      </w:r>
      <w:r w:rsidRPr="00ED15FF">
        <w:rPr>
          <w:rFonts w:ascii="Times New Roman" w:hAnsi="Times New Roman"/>
          <w:sz w:val="24"/>
        </w:rPr>
        <w:t>、本基金投资存托凭证的比例限制依照境内上市交易的股票执行，与境内上市交易的股票合并计算；</w:t>
      </w:r>
    </w:p>
    <w:p w14:paraId="02566ED2" w14:textId="77777777" w:rsidR="004F5B35" w:rsidRPr="00ED15FF" w:rsidRDefault="008C7F89">
      <w:pPr>
        <w:tabs>
          <w:tab w:val="left" w:pos="851"/>
          <w:tab w:val="left" w:pos="993"/>
        </w:tabs>
        <w:spacing w:line="360" w:lineRule="auto"/>
        <w:ind w:firstLine="480"/>
        <w:jc w:val="left"/>
        <w:rPr>
          <w:bCs/>
          <w:sz w:val="24"/>
        </w:rPr>
      </w:pPr>
      <w:r w:rsidRPr="00ED15FF">
        <w:rPr>
          <w:rFonts w:hint="eastAsia"/>
          <w:bCs/>
          <w:sz w:val="24"/>
        </w:rPr>
        <w:t>21</w:t>
      </w:r>
      <w:r w:rsidRPr="00ED15FF">
        <w:rPr>
          <w:rFonts w:hint="eastAsia"/>
          <w:bCs/>
          <w:sz w:val="24"/>
        </w:rPr>
        <w:t>、法律法规及中国证监会规定的和《基金合同》约定的其他投资限制。</w:t>
      </w:r>
      <w:r w:rsidRPr="00ED15FF">
        <w:rPr>
          <w:bCs/>
          <w:sz w:val="24"/>
        </w:rPr>
        <w:t xml:space="preserve"> </w:t>
      </w:r>
    </w:p>
    <w:p w14:paraId="48E60DAF" w14:textId="42928B98" w:rsidR="004F5B35" w:rsidRPr="00ED15FF" w:rsidRDefault="008C7F89">
      <w:pPr>
        <w:spacing w:line="360" w:lineRule="auto"/>
        <w:ind w:firstLine="480"/>
        <w:jc w:val="left"/>
        <w:rPr>
          <w:bCs/>
          <w:sz w:val="24"/>
        </w:rPr>
      </w:pPr>
      <w:r w:rsidRPr="00ED15FF">
        <w:rPr>
          <w:rFonts w:hint="eastAsia"/>
          <w:bCs/>
          <w:sz w:val="24"/>
        </w:rPr>
        <w:t>除上述</w:t>
      </w:r>
      <w:r w:rsidRPr="00ED15FF">
        <w:rPr>
          <w:bCs/>
          <w:sz w:val="24"/>
        </w:rPr>
        <w:t>2</w:t>
      </w:r>
      <w:r w:rsidRPr="00ED15FF">
        <w:rPr>
          <w:rFonts w:hint="eastAsia"/>
          <w:bCs/>
          <w:sz w:val="24"/>
        </w:rPr>
        <w:t>、</w:t>
      </w:r>
      <w:r w:rsidRPr="00ED15FF">
        <w:rPr>
          <w:rFonts w:hint="eastAsia"/>
          <w:bCs/>
          <w:sz w:val="24"/>
        </w:rPr>
        <w:t>9</w:t>
      </w:r>
      <w:r w:rsidRPr="00ED15FF">
        <w:rPr>
          <w:rFonts w:hint="eastAsia"/>
          <w:bCs/>
          <w:sz w:val="24"/>
        </w:rPr>
        <w:t>、</w:t>
      </w:r>
      <w:r w:rsidRPr="00ED15FF">
        <w:rPr>
          <w:rFonts w:hint="eastAsia"/>
          <w:bCs/>
          <w:sz w:val="24"/>
        </w:rPr>
        <w:t>1</w:t>
      </w:r>
      <w:r w:rsidRPr="00ED15FF">
        <w:rPr>
          <w:bCs/>
          <w:sz w:val="24"/>
        </w:rPr>
        <w:t>7</w:t>
      </w:r>
      <w:r w:rsidRPr="00ED15FF">
        <w:rPr>
          <w:rFonts w:hint="eastAsia"/>
          <w:bCs/>
          <w:sz w:val="24"/>
        </w:rPr>
        <w:t>、</w:t>
      </w:r>
      <w:r w:rsidRPr="00ED15FF">
        <w:rPr>
          <w:rFonts w:hint="eastAsia"/>
          <w:bCs/>
          <w:sz w:val="24"/>
        </w:rPr>
        <w:t>1</w:t>
      </w:r>
      <w:r w:rsidRPr="00ED15FF">
        <w:rPr>
          <w:bCs/>
          <w:sz w:val="24"/>
        </w:rPr>
        <w:t>8</w:t>
      </w:r>
      <w:r w:rsidRPr="00ED15FF">
        <w:rPr>
          <w:rFonts w:hint="eastAsia"/>
          <w:bCs/>
          <w:sz w:val="24"/>
        </w:rPr>
        <w:t>、</w:t>
      </w:r>
      <w:r w:rsidRPr="00ED15FF">
        <w:rPr>
          <w:bCs/>
          <w:sz w:val="24"/>
        </w:rPr>
        <w:t>20</w:t>
      </w:r>
      <w:r w:rsidRPr="00ED15FF">
        <w:rPr>
          <w:rFonts w:hint="eastAsia"/>
          <w:bCs/>
          <w:sz w:val="24"/>
        </w:rPr>
        <w:t>情形之外，因证券、期货市场波动、证券发行</w:t>
      </w:r>
      <w:r w:rsidRPr="00ED15FF">
        <w:rPr>
          <w:rFonts w:hint="eastAsia"/>
          <w:bCs/>
          <w:sz w:val="24"/>
        </w:rPr>
        <w:lastRenderedPageBreak/>
        <w:t>人</w:t>
      </w:r>
      <w:r w:rsidRPr="00ED15FF">
        <w:rPr>
          <w:bCs/>
          <w:sz w:val="24"/>
        </w:rPr>
        <w:t>合并</w:t>
      </w:r>
      <w:r w:rsidRPr="00ED15FF">
        <w:rPr>
          <w:rFonts w:hint="eastAsia"/>
          <w:bCs/>
          <w:sz w:val="24"/>
        </w:rPr>
        <w:t>、基金规模变动等基金管理人之外的因素致使基金投资比例不符合上述规定投资比例的，基金管理人应当在</w:t>
      </w:r>
      <w:r w:rsidRPr="00ED15FF">
        <w:rPr>
          <w:bCs/>
          <w:sz w:val="24"/>
        </w:rPr>
        <w:t>10</w:t>
      </w:r>
      <w:r w:rsidRPr="00ED15FF">
        <w:rPr>
          <w:rFonts w:hint="eastAsia"/>
          <w:bCs/>
          <w:sz w:val="24"/>
        </w:rPr>
        <w:t>个交易日内进行调整，但中国证监会规定的特殊情形除外。法律法规或监管部门另有规定的，从其规定。</w:t>
      </w:r>
    </w:p>
    <w:p w14:paraId="3CA7D08A" w14:textId="77777777" w:rsidR="004F5B35" w:rsidRPr="00ED15FF" w:rsidRDefault="008C7F89">
      <w:pPr>
        <w:spacing w:line="360" w:lineRule="auto"/>
        <w:ind w:firstLine="480"/>
        <w:jc w:val="left"/>
        <w:rPr>
          <w:bCs/>
          <w:sz w:val="24"/>
        </w:rPr>
      </w:pPr>
      <w:r w:rsidRPr="00ED15FF">
        <w:rPr>
          <w:rFonts w:hint="eastAsia"/>
          <w:bCs/>
          <w:sz w:val="24"/>
        </w:rPr>
        <w:t>基金管理人应当自基金合同生效之日起</w:t>
      </w:r>
      <w:r w:rsidRPr="00ED15FF">
        <w:rPr>
          <w:bCs/>
          <w:sz w:val="24"/>
        </w:rPr>
        <w:t>6</w:t>
      </w:r>
      <w:r w:rsidRPr="00ED15FF">
        <w:rPr>
          <w:rFonts w:hint="eastAsia"/>
          <w:bCs/>
          <w:sz w:val="24"/>
        </w:rPr>
        <w:t>个月内使基金的投资组合比例符合基金合同的有关约定。在</w:t>
      </w:r>
      <w:r w:rsidRPr="00ED15FF">
        <w:rPr>
          <w:bCs/>
          <w:sz w:val="24"/>
        </w:rPr>
        <w:t>上述</w:t>
      </w:r>
      <w:r w:rsidRPr="00ED15FF">
        <w:rPr>
          <w:rFonts w:hint="eastAsia"/>
          <w:bCs/>
          <w:sz w:val="24"/>
        </w:rPr>
        <w:t>期间内，本基金的投资范围、投资策略应当符合基金合同的约定。基金托管人对基金的投资的监督与检查自基金合同生效之日起开始。法律法规或监管部门另有规定的，从其规定。</w:t>
      </w:r>
    </w:p>
    <w:p w14:paraId="0CF80013" w14:textId="77777777" w:rsidR="004F5B35" w:rsidRPr="00ED15FF" w:rsidRDefault="008C7F89">
      <w:pPr>
        <w:tabs>
          <w:tab w:val="num" w:pos="1260"/>
        </w:tabs>
        <w:spacing w:line="336" w:lineRule="auto"/>
        <w:ind w:firstLine="480"/>
        <w:rPr>
          <w:rFonts w:ascii="宋体"/>
          <w:sz w:val="24"/>
        </w:rPr>
      </w:pPr>
      <w:r w:rsidRPr="00ED15FF">
        <w:rPr>
          <w:rFonts w:hint="eastAsia"/>
          <w:bCs/>
          <w:sz w:val="24"/>
        </w:rPr>
        <w:t>法律法规或监管部门取消或调整上述限制，如适用于本基金，基金管理人在履行适当程序后，则本基金投资不再受相关限制或以调整后的规定为准。</w:t>
      </w:r>
    </w:p>
    <w:p w14:paraId="21278663"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基金托管人依照上述规定对本基金的投资组合限制及调整期限进行监督。</w:t>
      </w:r>
    </w:p>
    <w:p w14:paraId="045B4143" w14:textId="77777777" w:rsidR="004F5B35" w:rsidRPr="00ED15FF" w:rsidRDefault="008C7F89">
      <w:pPr>
        <w:spacing w:line="360" w:lineRule="auto"/>
        <w:ind w:firstLine="482"/>
        <w:rPr>
          <w:rFonts w:ascii="宋体" w:hAnsi="宋体"/>
          <w:b/>
          <w:bCs/>
          <w:sz w:val="24"/>
        </w:rPr>
      </w:pPr>
      <w:r w:rsidRPr="00ED15FF">
        <w:rPr>
          <w:rFonts w:ascii="宋体" w:hAnsi="宋体" w:hint="eastAsia"/>
          <w:b/>
          <w:bCs/>
          <w:sz w:val="24"/>
        </w:rPr>
        <w:t>（3）基金托管人</w:t>
      </w:r>
      <w:bookmarkStart w:id="23" w:name="OLE_LINK1"/>
      <w:r w:rsidRPr="00ED15FF">
        <w:rPr>
          <w:rFonts w:ascii="宋体" w:hAnsi="宋体" w:hint="eastAsia"/>
          <w:b/>
          <w:bCs/>
          <w:sz w:val="24"/>
        </w:rPr>
        <w:t>根据有关法律法规的规定及基金合同和本协议的约定，</w:t>
      </w:r>
      <w:bookmarkEnd w:id="23"/>
      <w:r w:rsidRPr="00ED15FF">
        <w:rPr>
          <w:rFonts w:ascii="宋体" w:hAnsi="宋体" w:hint="eastAsia"/>
          <w:b/>
          <w:bCs/>
          <w:sz w:val="24"/>
        </w:rPr>
        <w:t>对基金投资禁止行为进行监督。</w:t>
      </w:r>
    </w:p>
    <w:p w14:paraId="3BE34AC8" w14:textId="77777777" w:rsidR="004F5B35" w:rsidRPr="00ED15FF" w:rsidRDefault="008C7F89">
      <w:pPr>
        <w:spacing w:line="360" w:lineRule="auto"/>
        <w:ind w:firstLine="480"/>
        <w:rPr>
          <w:bCs/>
          <w:sz w:val="24"/>
        </w:rPr>
      </w:pPr>
      <w:r w:rsidRPr="00ED15FF">
        <w:rPr>
          <w:bCs/>
          <w:sz w:val="24"/>
        </w:rPr>
        <w:t>为维护基金份额持有人的合法权益，基金财产不得用于下列投资或者活动：</w:t>
      </w:r>
    </w:p>
    <w:p w14:paraId="19B8B147"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承销证券；</w:t>
      </w:r>
    </w:p>
    <w:p w14:paraId="5D75A35E"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违反规定向他人贷款或者提供担保；</w:t>
      </w:r>
    </w:p>
    <w:p w14:paraId="05093E4B"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从事承担无限责任的投资；</w:t>
      </w:r>
    </w:p>
    <w:p w14:paraId="4EA7815C"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买卖其他基金份额，但是法律法规或中国证监会另有规定的除外；</w:t>
      </w:r>
    </w:p>
    <w:p w14:paraId="0B1A9685"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向其基金管理人、基金托管人出资；</w:t>
      </w:r>
    </w:p>
    <w:p w14:paraId="160D159B" w14:textId="77777777" w:rsidR="004F5B35" w:rsidRPr="00ED15FF" w:rsidRDefault="008C7F89">
      <w:pPr>
        <w:pStyle w:val="aff5"/>
        <w:numPr>
          <w:ilvl w:val="0"/>
          <w:numId w:val="31"/>
        </w:numPr>
        <w:spacing w:line="360" w:lineRule="auto"/>
        <w:ind w:left="0" w:firstLine="426"/>
        <w:rPr>
          <w:bCs/>
          <w:sz w:val="24"/>
        </w:rPr>
      </w:pPr>
      <w:r w:rsidRPr="00ED15FF">
        <w:rPr>
          <w:rFonts w:hint="eastAsia"/>
          <w:bCs/>
          <w:sz w:val="24"/>
        </w:rPr>
        <w:t>从事内幕交易、操纵证券交易价格及其他不正当的证券交易活动；</w:t>
      </w:r>
    </w:p>
    <w:p w14:paraId="0F029202" w14:textId="77777777" w:rsidR="004F5B35" w:rsidRPr="00ED15FF" w:rsidRDefault="008C7F89">
      <w:pPr>
        <w:pStyle w:val="aff5"/>
        <w:numPr>
          <w:ilvl w:val="0"/>
          <w:numId w:val="31"/>
        </w:numPr>
        <w:spacing w:line="360" w:lineRule="auto"/>
        <w:ind w:left="0" w:firstLine="426"/>
        <w:rPr>
          <w:bCs/>
          <w:sz w:val="24"/>
        </w:rPr>
      </w:pPr>
      <w:r w:rsidRPr="00ED15FF">
        <w:rPr>
          <w:rFonts w:ascii="宋体" w:cs="宋体" w:hint="eastAsia"/>
          <w:sz w:val="24"/>
        </w:rPr>
        <w:t>法律、行政法规和中国证监会规定禁止的其他活动。</w:t>
      </w:r>
    </w:p>
    <w:p w14:paraId="70A82121" w14:textId="77777777" w:rsidR="004F5B35" w:rsidRPr="00ED15FF" w:rsidRDefault="008C7F89">
      <w:pPr>
        <w:spacing w:line="360" w:lineRule="auto"/>
        <w:ind w:firstLine="480"/>
        <w:rPr>
          <w:bCs/>
          <w:sz w:val="24"/>
        </w:rPr>
      </w:pPr>
      <w:r w:rsidRPr="00ED15F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0BD6FC" w14:textId="77777777" w:rsidR="004F5B35" w:rsidRPr="00ED15FF" w:rsidRDefault="008C7F89">
      <w:pPr>
        <w:tabs>
          <w:tab w:val="num" w:pos="1260"/>
        </w:tabs>
        <w:spacing w:line="360" w:lineRule="auto"/>
        <w:ind w:firstLine="480"/>
        <w:rPr>
          <w:rFonts w:ascii="宋体"/>
          <w:sz w:val="24"/>
        </w:rPr>
      </w:pPr>
      <w:r w:rsidRPr="00ED15FF">
        <w:rPr>
          <w:rFonts w:hint="eastAsia"/>
          <w:bCs/>
          <w:sz w:val="24"/>
        </w:rPr>
        <w:t>法律、行政法规或监管部门取消或变更上述禁止性规定，如适用于本基金，基金管理人在履行适当程序后，则本基金投资不再受相关限制或按变更后的规</w:t>
      </w:r>
      <w:r w:rsidRPr="00ED15FF">
        <w:rPr>
          <w:rFonts w:hint="eastAsia"/>
          <w:bCs/>
          <w:sz w:val="24"/>
        </w:rPr>
        <w:lastRenderedPageBreak/>
        <w:t>定执行。</w:t>
      </w:r>
    </w:p>
    <w:p w14:paraId="4A43863F" w14:textId="77777777" w:rsidR="004F5B35" w:rsidRPr="00ED15FF" w:rsidRDefault="008C7F89">
      <w:pPr>
        <w:tabs>
          <w:tab w:val="left" w:pos="3780"/>
        </w:tabs>
        <w:spacing w:line="360" w:lineRule="auto"/>
        <w:ind w:firstLine="482"/>
        <w:outlineLvl w:val="0"/>
        <w:rPr>
          <w:rFonts w:ascii="宋体"/>
          <w:b/>
          <w:bCs/>
          <w:sz w:val="24"/>
        </w:rPr>
      </w:pPr>
      <w:bookmarkStart w:id="24" w:name="OLE_LINK2"/>
      <w:bookmarkStart w:id="25" w:name="OLE_LINK4"/>
      <w:r w:rsidRPr="00ED15FF">
        <w:rPr>
          <w:rFonts w:ascii="宋体" w:hAnsi="宋体" w:hint="eastAsia"/>
          <w:b/>
          <w:bCs/>
          <w:sz w:val="24"/>
        </w:rPr>
        <w:t>（4）</w:t>
      </w:r>
      <w:r w:rsidRPr="00ED15FF">
        <w:rPr>
          <w:rFonts w:ascii="宋体" w:hAnsi="宋体"/>
          <w:b/>
          <w:bCs/>
          <w:sz w:val="24"/>
        </w:rPr>
        <w:t>基金托管人根据有关法律法规的规定及基金合同和本协议的约定，对基金管理人参与银行间债券市场进行监督。</w:t>
      </w:r>
      <w:bookmarkEnd w:id="24"/>
      <w:bookmarkEnd w:id="25"/>
    </w:p>
    <w:p w14:paraId="1B81ECBD"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1</w:t>
      </w:r>
      <w:r w:rsidRPr="00ED15FF">
        <w:rPr>
          <w:rFonts w:ascii="宋体" w:hAnsi="宋体" w:hint="eastAsia"/>
          <w:sz w:val="24"/>
        </w:rPr>
        <w:t>、基金托管人依据有关法律法规的规定和《基金合同》的约定对于基金管理人参与银行间市场交易时面临的交易对手资信风险进行监督。</w:t>
      </w:r>
    </w:p>
    <w:p w14:paraId="6263DDEF"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基金管理人向基金托管人提供符合法律法规及行业标准的银行间市场交易对手的名单。基金托管人在收到名单后</w:t>
      </w:r>
      <w:r w:rsidRPr="00ED15FF">
        <w:rPr>
          <w:rFonts w:ascii="宋体" w:hAnsi="宋体"/>
          <w:sz w:val="24"/>
        </w:rPr>
        <w:t>2</w:t>
      </w:r>
      <w:r w:rsidRPr="00ED15FF">
        <w:rPr>
          <w:rFonts w:ascii="宋体" w:hAnsi="宋体" w:hint="eastAsia"/>
          <w:sz w:val="24"/>
        </w:rPr>
        <w:t>个工作日内电话或回函确认收到该名单。基金管理人应定期和不定期对银行间市场现券及回购交易对手的名单进行更新。基金托管人在收到名单后</w:t>
      </w:r>
      <w:r w:rsidR="004F5B35" w:rsidRPr="00ED15FF">
        <w:rPr>
          <w:rFonts w:ascii="宋体" w:hAnsi="宋体"/>
          <w:sz w:val="24"/>
        </w:rPr>
        <w:t>2个工作日</w:t>
      </w:r>
      <w:r w:rsidRPr="00ED15FF">
        <w:rPr>
          <w:rFonts w:ascii="宋体" w:hAnsi="宋体" w:hint="eastAsia"/>
          <w:sz w:val="24"/>
        </w:rPr>
        <w:t>内电话或书面回函确认，新名单自基金托管人确认当日生效。新名单生效前已与本次剔除的交易对手所进行但尚未结算的交易，仍应按照协议进行结算。</w:t>
      </w:r>
    </w:p>
    <w:p w14:paraId="2C45FA69"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2</w:t>
      </w:r>
      <w:r w:rsidRPr="00ED15FF">
        <w:rPr>
          <w:rFonts w:ascii="宋体" w:hAnsi="宋体" w:hint="eastAsia"/>
          <w:sz w:val="24"/>
        </w:rPr>
        <w:t>、基金管理人参与银行间市场交易时，有责任控制交易对手的资信风险，由于交易对手资信风险引起的损失</w:t>
      </w:r>
      <w:r w:rsidRPr="00ED15FF">
        <w:rPr>
          <w:rFonts w:ascii="宋体"/>
          <w:sz w:val="24"/>
        </w:rPr>
        <w:t>,</w:t>
      </w:r>
      <w:r w:rsidRPr="00ED15FF">
        <w:rPr>
          <w:rFonts w:ascii="宋体" w:hAnsi="宋体" w:hint="eastAsia"/>
          <w:sz w:val="24"/>
        </w:rPr>
        <w:t>基金管理人应当负责向相关责任人追偿。</w:t>
      </w:r>
    </w:p>
    <w:p w14:paraId="13A446CB" w14:textId="77777777" w:rsidR="004F5B35" w:rsidRPr="00ED15FF" w:rsidRDefault="008C7F89">
      <w:pPr>
        <w:tabs>
          <w:tab w:val="left" w:pos="3780"/>
        </w:tabs>
        <w:spacing w:line="360" w:lineRule="auto"/>
        <w:ind w:firstLine="482"/>
        <w:outlineLvl w:val="0"/>
        <w:rPr>
          <w:rFonts w:ascii="宋体"/>
          <w:b/>
          <w:bCs/>
          <w:sz w:val="24"/>
        </w:rPr>
      </w:pPr>
      <w:r w:rsidRPr="00ED15FF">
        <w:rPr>
          <w:rFonts w:ascii="宋体" w:hAnsi="宋体" w:hint="eastAsia"/>
          <w:b/>
          <w:bCs/>
          <w:sz w:val="24"/>
        </w:rPr>
        <w:t>（</w:t>
      </w:r>
      <w:r w:rsidRPr="00ED15FF">
        <w:rPr>
          <w:rFonts w:ascii="宋体" w:hAnsi="宋体"/>
          <w:b/>
          <w:bCs/>
          <w:sz w:val="24"/>
        </w:rPr>
        <w:t>5</w:t>
      </w:r>
      <w:r w:rsidRPr="00ED15FF">
        <w:rPr>
          <w:rFonts w:ascii="宋体" w:hAnsi="宋体" w:hint="eastAsia"/>
          <w:b/>
          <w:bCs/>
          <w:sz w:val="24"/>
        </w:rPr>
        <w:t>）基金托管人根据有关法律法规的规定及基金合同和本协议的约定，对基金管理人银行存款</w:t>
      </w:r>
      <w:r w:rsidRPr="00ED15FF">
        <w:rPr>
          <w:rFonts w:ascii="宋体" w:hAnsi="宋体"/>
          <w:b/>
          <w:bCs/>
          <w:sz w:val="24"/>
        </w:rPr>
        <w:t>业务进行监督。</w:t>
      </w:r>
    </w:p>
    <w:p w14:paraId="203C9983"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本基金投资银行存款应符合如下规定：</w:t>
      </w:r>
    </w:p>
    <w:p w14:paraId="4FDA002B"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1.</w:t>
      </w:r>
      <w:r w:rsidRPr="00ED15FF">
        <w:rPr>
          <w:rFonts w:ascii="宋体" w:hAnsi="宋体" w:hint="eastAsia"/>
          <w:sz w:val="24"/>
        </w:rPr>
        <w:t>基金管理人、基金托管人应当与存款银行建立定期对账机制，确保基金银行存款业务账目及核算的真实、准确。</w:t>
      </w:r>
    </w:p>
    <w:p w14:paraId="794559B1"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2</w:t>
      </w:r>
      <w:r w:rsidRPr="00ED15FF">
        <w:rPr>
          <w:rFonts w:ascii="宋体" w:hAnsi="宋体" w:hint="eastAsia"/>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48EE6F7"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3</w:t>
      </w:r>
      <w:r w:rsidRPr="00ED15FF">
        <w:rPr>
          <w:rFonts w:ascii="宋体" w:hAnsi="宋体" w:hint="eastAsia"/>
          <w:sz w:val="24"/>
        </w:rPr>
        <w:t>．基金托管人应加强对基金银行存款业务的监督与核查，严格审查、复核相关协议、账户资料、投资指令、存款证实书等有关文件，切实履行托管职责。</w:t>
      </w:r>
    </w:p>
    <w:p w14:paraId="293F81C0"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4</w:t>
      </w:r>
      <w:r w:rsidRPr="00ED15FF">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04616B82" w14:textId="77777777" w:rsidR="004F5B35" w:rsidRPr="00ED15FF" w:rsidRDefault="008C7F89">
      <w:pPr>
        <w:tabs>
          <w:tab w:val="num" w:pos="1260"/>
        </w:tabs>
        <w:spacing w:line="360" w:lineRule="auto"/>
        <w:ind w:firstLine="482"/>
        <w:rPr>
          <w:rFonts w:ascii="宋体" w:hAnsi="宋体"/>
          <w:b/>
          <w:bCs/>
          <w:sz w:val="24"/>
        </w:rPr>
      </w:pPr>
      <w:r w:rsidRPr="00ED15FF">
        <w:rPr>
          <w:rFonts w:ascii="宋体" w:hAnsi="宋体" w:cs="宋体" w:hint="eastAsia"/>
          <w:b/>
          <w:color w:val="000000"/>
          <w:sz w:val="24"/>
        </w:rPr>
        <w:lastRenderedPageBreak/>
        <w:t>（</w:t>
      </w:r>
      <w:r w:rsidRPr="00ED15FF">
        <w:rPr>
          <w:rFonts w:ascii="宋体" w:hAnsi="宋体" w:cs="宋体"/>
          <w:b/>
          <w:color w:val="000000"/>
          <w:sz w:val="24"/>
        </w:rPr>
        <w:t>6</w:t>
      </w:r>
      <w:r w:rsidRPr="00ED15FF">
        <w:rPr>
          <w:rFonts w:ascii="宋体" w:hAnsi="宋体" w:cs="宋体" w:hint="eastAsia"/>
          <w:b/>
          <w:color w:val="000000"/>
          <w:sz w:val="24"/>
        </w:rPr>
        <w:t>）</w:t>
      </w:r>
      <w:r w:rsidRPr="00ED15FF">
        <w:rPr>
          <w:rFonts w:ascii="宋体" w:hAnsi="宋体" w:hint="eastAsia"/>
          <w:b/>
          <w:bCs/>
          <w:sz w:val="24"/>
        </w:rPr>
        <w:t>基金托管人根据法律法规的规定及《基金合同》和本协议的约定，对基金投资其他方面进行监督。</w:t>
      </w:r>
    </w:p>
    <w:p w14:paraId="28661C04"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（二）基金托管人应根据有关法律法规的规定及基金合同的约定，对基金资产净值计算、各类基金份额净值计算、应收资金到账、基金费用开支及收入确认、基金收益分配、相关信息披露等进行监督和核查。</w:t>
      </w:r>
    </w:p>
    <w:p w14:paraId="704D8B5C"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14:paraId="69E8345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0C2BF6D9"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基金托管人发现基金管理人有重大违规行为，应立即报告中国证监会，同时通知基金管理人在限期内纠正。</w:t>
      </w:r>
    </w:p>
    <w:p w14:paraId="0DA99A22"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基金托管人发现基金管理人的指令违反法律、行政法规和其他有关规定，或者违反《基金合同》约定的，应当视情况暂缓或拒绝执行，立即通知基金管理人，并有权向中国证监会报告。</w:t>
      </w:r>
    </w:p>
    <w:p w14:paraId="3E8ABFC7"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基金托管人发现基金管理人依据交易程序已经生效的指令违反法律、行政法规和其他有关规定，或者违反《基金合同》约定的，应当立即通知基金管理人，并有权向中国证监会报告。</w:t>
      </w:r>
      <w:bookmarkStart w:id="26" w:name="_Toc125892440"/>
    </w:p>
    <w:p w14:paraId="6BEBFC53" w14:textId="77777777" w:rsidR="004F5B35" w:rsidRPr="00ED15FF" w:rsidRDefault="008C7F89">
      <w:pPr>
        <w:pStyle w:val="117"/>
      </w:pPr>
      <w:bookmarkStart w:id="27" w:name="_Toc516233744"/>
      <w:r w:rsidRPr="00ED15FF">
        <w:t>四、基金管理人对基金托管人的业务核查</w:t>
      </w:r>
      <w:bookmarkEnd w:id="26"/>
      <w:bookmarkEnd w:id="27"/>
    </w:p>
    <w:p w14:paraId="573BDD7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根据《基金法》及其他有关法规、《基金合同》和本协议规定，基金管理人对基金托管人履行托管职责的情况进行核查，核查事项包括但不限于基金托管人是否安全保管基金财产、开立基金财产的资金账户、证券账户、期货账户及债券托管账户等投资所需账户，是否及时、准确复核基金管理人计算的基金</w:t>
      </w:r>
      <w:r w:rsidRPr="00ED15FF">
        <w:rPr>
          <w:rFonts w:ascii="宋体" w:hAnsi="宋体" w:hint="eastAsia"/>
          <w:sz w:val="24"/>
        </w:rPr>
        <w:lastRenderedPageBreak/>
        <w:t>资产净值和各类基金份额净值，是否根据基金管理人指令办理清算交收，是否按照法规规定和《基金合同》规定进行相关信息披露和监督基金投资运作等行为。</w:t>
      </w:r>
    </w:p>
    <w:p w14:paraId="2EACB61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32D2543E"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49F697BA"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基金管理人发现基金托管人有重大违规行为，应立即报告中国证监会，同时通知基金托管人在限期内纠正。</w:t>
      </w:r>
    </w:p>
    <w:p w14:paraId="1427A62C" w14:textId="77777777" w:rsidR="004F5B35" w:rsidRPr="00ED15FF" w:rsidRDefault="008C7F89">
      <w:pPr>
        <w:pStyle w:val="117"/>
      </w:pPr>
      <w:bookmarkStart w:id="28" w:name="_Toc466788854"/>
      <w:bookmarkStart w:id="29" w:name="_Toc523829995"/>
      <w:bookmarkStart w:id="30" w:name="_Toc22454437"/>
      <w:bookmarkStart w:id="31" w:name="_Toc125892441"/>
      <w:bookmarkStart w:id="32" w:name="_Toc516233745"/>
      <w:r w:rsidRPr="00ED15FF">
        <w:t>五、基金财产的保管</w:t>
      </w:r>
      <w:bookmarkEnd w:id="28"/>
      <w:bookmarkEnd w:id="29"/>
      <w:bookmarkEnd w:id="30"/>
      <w:bookmarkEnd w:id="31"/>
      <w:bookmarkEnd w:id="32"/>
    </w:p>
    <w:p w14:paraId="501E932A" w14:textId="77777777" w:rsidR="004F5B35" w:rsidRPr="00ED15FF" w:rsidRDefault="008C7F89">
      <w:pPr>
        <w:tabs>
          <w:tab w:val="left" w:pos="3780"/>
        </w:tabs>
        <w:spacing w:line="360" w:lineRule="auto"/>
        <w:outlineLvl w:val="0"/>
        <w:rPr>
          <w:rFonts w:ascii="宋体"/>
          <w:b/>
          <w:bCs/>
          <w:sz w:val="24"/>
        </w:rPr>
      </w:pPr>
      <w:bookmarkStart w:id="33" w:name="_Toc37159173"/>
      <w:bookmarkStart w:id="34" w:name="_Toc77662997"/>
      <w:r w:rsidRPr="00ED15FF">
        <w:rPr>
          <w:rFonts w:ascii="宋体" w:hAnsi="宋体"/>
          <w:b/>
          <w:bCs/>
          <w:sz w:val="24"/>
        </w:rPr>
        <w:t>（一）基金财产保管的原则</w:t>
      </w:r>
      <w:bookmarkEnd w:id="33"/>
      <w:bookmarkEnd w:id="34"/>
    </w:p>
    <w:p w14:paraId="4000A06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w:t>
      </w:r>
      <w:r w:rsidRPr="00ED15FF">
        <w:rPr>
          <w:rFonts w:ascii="宋体" w:hAnsi="宋体"/>
          <w:sz w:val="24"/>
        </w:rPr>
        <w:t xml:space="preserve"> </w:t>
      </w:r>
      <w:r w:rsidRPr="00ED15FF">
        <w:rPr>
          <w:rFonts w:ascii="宋体" w:hAnsi="宋体" w:hint="eastAsia"/>
          <w:sz w:val="24"/>
        </w:rPr>
        <w:t>基金托管人应安全保管基金财产，未经基金管理人的指令，不得自行运用、处分、分配基金的任何资产。</w:t>
      </w:r>
    </w:p>
    <w:p w14:paraId="731669B4"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w:t>
      </w:r>
      <w:r w:rsidRPr="00ED15FF">
        <w:rPr>
          <w:rFonts w:ascii="宋体" w:hAnsi="宋体"/>
          <w:sz w:val="24"/>
        </w:rPr>
        <w:t xml:space="preserve"> </w:t>
      </w:r>
      <w:r w:rsidRPr="00ED15FF">
        <w:rPr>
          <w:rFonts w:ascii="宋体" w:hAnsi="宋体" w:hint="eastAsia"/>
          <w:sz w:val="24"/>
        </w:rPr>
        <w:t>基金财产应独立于基金管理人、基金托管人的固有财产。</w:t>
      </w:r>
    </w:p>
    <w:p w14:paraId="3DE219DF"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）基金托管人按照规定开立基金财产的资金账户、证券账户和债券托管账户</w:t>
      </w:r>
      <w:r w:rsidRPr="00ED15FF">
        <w:rPr>
          <w:spacing w:val="-4"/>
          <w:sz w:val="24"/>
        </w:rPr>
        <w:t>等投资所需账户</w:t>
      </w:r>
      <w:r w:rsidRPr="00ED15FF">
        <w:rPr>
          <w:rFonts w:hint="eastAsia"/>
          <w:spacing w:val="-4"/>
          <w:sz w:val="24"/>
        </w:rPr>
        <w:t>，基金管理人和基金托管人按照规定</w:t>
      </w:r>
      <w:r w:rsidRPr="00ED15FF">
        <w:rPr>
          <w:rFonts w:ascii="宋体" w:hAnsi="宋体" w:hint="eastAsia"/>
          <w:sz w:val="24"/>
        </w:rPr>
        <w:t>开立期货资金账户。</w:t>
      </w:r>
    </w:p>
    <w:p w14:paraId="2607670A"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4</w:t>
      </w:r>
      <w:r w:rsidRPr="00ED15FF">
        <w:rPr>
          <w:rFonts w:ascii="宋体" w:hAnsi="宋体" w:hint="eastAsia"/>
          <w:sz w:val="24"/>
        </w:rPr>
        <w:t>）</w:t>
      </w:r>
      <w:r w:rsidRPr="00ED15FF">
        <w:rPr>
          <w:rFonts w:ascii="宋体" w:hAnsi="宋体"/>
          <w:sz w:val="24"/>
        </w:rPr>
        <w:t xml:space="preserve"> </w:t>
      </w:r>
      <w:r w:rsidRPr="00ED15FF">
        <w:rPr>
          <w:rFonts w:ascii="宋体" w:hAnsi="宋体" w:hint="eastAsia"/>
          <w:sz w:val="24"/>
        </w:rPr>
        <w:t>基金托管人对所托管的不同基金财产分别设置账户，独立核算，分账管理，确保基金财产的完整和独立。</w:t>
      </w:r>
    </w:p>
    <w:p w14:paraId="0508BB1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w:t>
      </w:r>
      <w:r w:rsidRPr="00ED15FF">
        <w:rPr>
          <w:rFonts w:ascii="宋体" w:hAnsi="宋体"/>
          <w:sz w:val="24"/>
        </w:rPr>
        <w:lastRenderedPageBreak/>
        <w:t>采取措施进行催收。由此给基金造成损失的，基金管理人应负责向有关当事人追偿基金的损失。</w:t>
      </w:r>
      <w:bookmarkStart w:id="35" w:name="_Toc37159174"/>
      <w:bookmarkStart w:id="36" w:name="_Toc77662998"/>
      <w:r w:rsidRPr="00ED15FF">
        <w:rPr>
          <w:rFonts w:ascii="宋体" w:hAnsi="宋体" w:hint="eastAsia"/>
          <w:sz w:val="24"/>
        </w:rPr>
        <w:t>基金托管人对此不承担任何责任，但应当予以必要的配合与协助。</w:t>
      </w:r>
    </w:p>
    <w:p w14:paraId="3AFED7CC"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（二）基金募集资产的验证</w:t>
      </w:r>
      <w:bookmarkEnd w:id="35"/>
      <w:bookmarkEnd w:id="36"/>
    </w:p>
    <w:p w14:paraId="5DA9708B"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基金募集期满或基金提前结束募集之日起</w:t>
      </w:r>
      <w:r w:rsidRPr="00ED15FF">
        <w:rPr>
          <w:rFonts w:ascii="宋体" w:hAnsi="宋体"/>
          <w:sz w:val="24"/>
        </w:rPr>
        <w:t>10</w:t>
      </w:r>
      <w:r w:rsidRPr="00ED15FF">
        <w:rPr>
          <w:rFonts w:ascii="宋体" w:hAnsi="宋体" w:hint="eastAsia"/>
          <w:sz w:val="24"/>
        </w:rPr>
        <w:t>日内，由基金管理人聘请符合《中华人民共和国证券法》规定的会计师事务所进行验资，出具验资报告。出具的验资报告应由参加验资的</w:t>
      </w:r>
      <w:r w:rsidRPr="00ED15FF">
        <w:rPr>
          <w:rFonts w:ascii="宋体" w:hAnsi="宋体"/>
          <w:sz w:val="24"/>
        </w:rPr>
        <w:t>2</w:t>
      </w:r>
      <w:r w:rsidRPr="00ED15FF">
        <w:rPr>
          <w:rFonts w:ascii="宋体" w:hAnsi="宋体" w:hint="eastAsia"/>
          <w:sz w:val="24"/>
        </w:rPr>
        <w:t>名以上（含</w:t>
      </w:r>
      <w:r w:rsidRPr="00ED15FF">
        <w:rPr>
          <w:rFonts w:ascii="宋体" w:hAnsi="宋体"/>
          <w:sz w:val="24"/>
        </w:rPr>
        <w:t>2名）中国注册会计师签字有效。验资完成，基金管理人应将募集到的全部资金存入基金托管人为基金开立的基金银行存款账户中，基金托管人在收到资金当日出具相关证明文件。</w:t>
      </w:r>
      <w:bookmarkStart w:id="37" w:name="_Toc37159176"/>
      <w:bookmarkStart w:id="38" w:name="_Toc77663000"/>
    </w:p>
    <w:p w14:paraId="484F709E"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（三）基金的银行存款账户的开立和管理</w:t>
      </w:r>
      <w:bookmarkEnd w:id="37"/>
      <w:bookmarkEnd w:id="38"/>
    </w:p>
    <w:p w14:paraId="2AA03B5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w:t>
      </w:r>
      <w:r w:rsidRPr="00ED15FF">
        <w:rPr>
          <w:rFonts w:ascii="宋体"/>
          <w:sz w:val="24"/>
        </w:rPr>
        <w:tab/>
      </w:r>
      <w:r w:rsidRPr="00ED15FF">
        <w:rPr>
          <w:rFonts w:ascii="宋体" w:hAnsi="宋体" w:hint="eastAsia"/>
          <w:sz w:val="24"/>
        </w:rPr>
        <w:t>基金托管人应负责本基金银行存款账户的开立和管理。</w:t>
      </w:r>
    </w:p>
    <w:p w14:paraId="601209B8"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w:t>
      </w:r>
      <w:r w:rsidRPr="00ED15FF">
        <w:rPr>
          <w:rFonts w:ascii="宋体" w:hAnsi="宋体"/>
          <w:sz w:val="24"/>
        </w:rPr>
        <w:t xml:space="preserve">  </w:t>
      </w:r>
      <w:r w:rsidRPr="00ED15FF">
        <w:rPr>
          <w:rFonts w:ascii="宋体" w:hAnsi="宋体" w:hint="eastAsia"/>
          <w:sz w:val="24"/>
        </w:rPr>
        <w:t>基金托管人以本基金的名义在其营业机构开立基金的银行存款账户，并根据基金管理人合法合规的指令办理资金收付。本基金的银行预留印鉴由基金托管人保管和使用。</w:t>
      </w:r>
    </w:p>
    <w:p w14:paraId="2F0BB4C2"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w:t>
      </w:r>
      <w:r w:rsidRPr="00ED15FF">
        <w:rPr>
          <w:rFonts w:ascii="宋体"/>
          <w:sz w:val="24"/>
        </w:rPr>
        <w:tab/>
      </w:r>
      <w:r w:rsidRPr="00ED15FF">
        <w:rPr>
          <w:rFonts w:ascii="宋体" w:hAnsi="宋体" w:hint="eastAsia"/>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6F2232F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4</w:t>
      </w:r>
      <w:r w:rsidRPr="00ED15FF">
        <w:rPr>
          <w:rFonts w:ascii="宋体" w:hAnsi="宋体" w:hint="eastAsia"/>
          <w:sz w:val="24"/>
        </w:rPr>
        <w:t>）</w:t>
      </w:r>
      <w:r w:rsidRPr="00ED15FF">
        <w:rPr>
          <w:rFonts w:ascii="宋体"/>
          <w:sz w:val="24"/>
        </w:rPr>
        <w:tab/>
      </w:r>
      <w:r w:rsidRPr="00ED15FF">
        <w:rPr>
          <w:rFonts w:ascii="宋体" w:hAnsi="宋体" w:hint="eastAsia"/>
          <w:sz w:val="24"/>
        </w:rPr>
        <w:t>基金托管人可以通过申请开通本基金银行账户的企业网上银行业务进行资金支付，并使用交通银行企业网上银行（简称“交通银行网银”）办理托管资产的资金结算汇划业务。</w:t>
      </w:r>
    </w:p>
    <w:p w14:paraId="0E0937C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5</w:t>
      </w:r>
      <w:r w:rsidRPr="00ED15FF">
        <w:rPr>
          <w:rFonts w:ascii="宋体" w:hAnsi="宋体" w:hint="eastAsia"/>
          <w:sz w:val="24"/>
        </w:rPr>
        <w:t>）</w:t>
      </w:r>
      <w:r w:rsidRPr="00ED15FF">
        <w:rPr>
          <w:rFonts w:ascii="宋体"/>
          <w:sz w:val="24"/>
        </w:rPr>
        <w:tab/>
      </w:r>
      <w:r w:rsidRPr="00ED15FF">
        <w:rPr>
          <w:rFonts w:ascii="宋体" w:hAnsi="宋体" w:hint="eastAsia"/>
          <w:sz w:val="24"/>
        </w:rPr>
        <w:t>基金银行存款账户的管理应符合银行业监督管理机构的有关</w:t>
      </w:r>
      <w:r w:rsidRPr="00ED15FF">
        <w:rPr>
          <w:rFonts w:ascii="宋体" w:hAnsi="宋体"/>
          <w:sz w:val="24"/>
        </w:rPr>
        <w:t>规定。</w:t>
      </w:r>
      <w:bookmarkStart w:id="39" w:name="_Toc37159177"/>
      <w:bookmarkStart w:id="40" w:name="_Toc77663001"/>
    </w:p>
    <w:p w14:paraId="12AE447C"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（四）基金证券交收账户、资金交收账户的开立和管理</w:t>
      </w:r>
      <w:bookmarkEnd w:id="39"/>
      <w:bookmarkEnd w:id="40"/>
    </w:p>
    <w:p w14:paraId="42860570"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基金托管人以基金托管人和本基金联名的方式在中国证券登记结算有限责任公司开立证券账户。</w:t>
      </w:r>
    </w:p>
    <w:p w14:paraId="2A8B82F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452BF913"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基金管理人不得对基金证券交收账户、资金交收账户进行证券的超卖或超买。</w:t>
      </w:r>
    </w:p>
    <w:p w14:paraId="42FF2259"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lastRenderedPageBreak/>
        <w:t>基金托管人以基金托管人的名义在中国证券登记结算有限责任公司开立结算备付金账户即资金交收账户，用于证券交易资金的结算。基金托管人以本基金的名义在基金</w:t>
      </w:r>
      <w:r w:rsidRPr="00ED15FF">
        <w:rPr>
          <w:rFonts w:ascii="宋体" w:hAnsi="宋体"/>
          <w:sz w:val="24"/>
        </w:rPr>
        <w:t>托管人处开立基金的证券交易资金结算的二级结算备付金账户。</w:t>
      </w:r>
      <w:bookmarkStart w:id="41" w:name="_Toc37159179"/>
      <w:bookmarkStart w:id="42" w:name="_Toc77663003"/>
    </w:p>
    <w:p w14:paraId="50D57F02"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（五）债券托管账户的开立和管理</w:t>
      </w:r>
    </w:p>
    <w:p w14:paraId="29763EED"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w:t>
      </w:r>
      <w:r w:rsidRPr="00ED15FF">
        <w:rPr>
          <w:rFonts w:ascii="宋体"/>
          <w:sz w:val="24"/>
        </w:rPr>
        <w:tab/>
      </w:r>
      <w:r w:rsidRPr="00ED15FF">
        <w:rPr>
          <w:rFonts w:ascii="宋体" w:hAnsi="宋体" w:hint="eastAsia"/>
          <w:sz w:val="24"/>
        </w:rPr>
        <w:t>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w:t>
      </w:r>
      <w:r w:rsidRPr="00ED15FF">
        <w:rPr>
          <w:rFonts w:ascii="宋体" w:hAnsi="宋体" w:hint="eastAsia"/>
          <w:sz w:val="24"/>
          <w:szCs w:val="21"/>
        </w:rPr>
        <w:t>基金管理人负责申请基金进入全国银行间同业拆借市场进行交易，由基金管理人在中国外汇交易中心开设同业拆借市场交易</w:t>
      </w:r>
      <w:r w:rsidRPr="00ED15FF">
        <w:rPr>
          <w:rFonts w:ascii="宋体" w:hAnsi="宋体" w:hint="eastAsia"/>
          <w:sz w:val="24"/>
        </w:rPr>
        <w:t>账户</w:t>
      </w:r>
      <w:r w:rsidRPr="00ED15FF">
        <w:rPr>
          <w:rFonts w:ascii="宋体" w:hAnsi="宋体" w:hint="eastAsia"/>
          <w:sz w:val="24"/>
          <w:szCs w:val="21"/>
        </w:rPr>
        <w:t>。</w:t>
      </w:r>
    </w:p>
    <w:p w14:paraId="3858E3B6"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w:t>
      </w:r>
      <w:r w:rsidRPr="00ED15FF">
        <w:rPr>
          <w:rFonts w:ascii="宋体" w:hAnsi="宋体"/>
          <w:sz w:val="24"/>
        </w:rPr>
        <w:tab/>
      </w:r>
      <w:r w:rsidRPr="00ED15FF">
        <w:rPr>
          <w:rFonts w:ascii="宋体" w:hAnsi="宋体" w:hint="eastAsia"/>
          <w:sz w:val="24"/>
        </w:rPr>
        <w:t>基金管理人代表基金签订全国银行间债券市场债券回购主协议，协议正本由基金管理人保存。</w:t>
      </w:r>
    </w:p>
    <w:p w14:paraId="4524A03F"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cs="宋体"/>
          <w:color w:val="000000"/>
          <w:sz w:val="24"/>
        </w:rPr>
        <w:t>（3）基金管理人代表基金签订中国银行间市场金融衍生产品交易主协议（凭证特别版），协议正本由基金管理人保存。</w:t>
      </w:r>
    </w:p>
    <w:p w14:paraId="292476A4" w14:textId="77777777" w:rsidR="004F5B35" w:rsidRPr="00ED15FF" w:rsidRDefault="008C7F89">
      <w:pPr>
        <w:tabs>
          <w:tab w:val="left" w:pos="3780"/>
        </w:tabs>
        <w:spacing w:line="360" w:lineRule="auto"/>
        <w:outlineLvl w:val="0"/>
        <w:rPr>
          <w:rFonts w:ascii="宋体" w:hAnsi="宋体"/>
          <w:b/>
          <w:bCs/>
          <w:sz w:val="24"/>
        </w:rPr>
      </w:pPr>
      <w:r w:rsidRPr="00ED15FF">
        <w:rPr>
          <w:rFonts w:ascii="宋体" w:hAnsi="宋体" w:hint="eastAsia"/>
          <w:b/>
          <w:bCs/>
          <w:sz w:val="24"/>
        </w:rPr>
        <w:t>（六）</w:t>
      </w:r>
      <w:bookmarkStart w:id="43" w:name="_Toc18332633"/>
      <w:r w:rsidRPr="00ED15FF">
        <w:rPr>
          <w:rFonts w:ascii="宋体" w:hAnsi="宋体"/>
          <w:b/>
          <w:bCs/>
          <w:sz w:val="24"/>
        </w:rPr>
        <w:t>期货的相关账户的开立和管理</w:t>
      </w:r>
      <w:bookmarkEnd w:id="43"/>
    </w:p>
    <w:p w14:paraId="76E83EAD"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基金管理人、基金托管人应当按照相关规定开立期货资金账户，在中国金融期货交易所获取交易编码。期货资金账户名称及交易编码对应名称应按照有关规定设立。</w:t>
      </w:r>
    </w:p>
    <w:p w14:paraId="46B96F87" w14:textId="77777777" w:rsidR="004F5B35" w:rsidRPr="00ED15FF" w:rsidRDefault="008C7F89">
      <w:pPr>
        <w:tabs>
          <w:tab w:val="num" w:pos="1260"/>
        </w:tabs>
        <w:spacing w:before="120" w:after="120" w:line="360" w:lineRule="auto"/>
        <w:ind w:firstLine="480"/>
        <w:rPr>
          <w:rFonts w:ascii="宋体" w:hAnsi="宋体"/>
          <w:sz w:val="24"/>
        </w:rPr>
      </w:pPr>
      <w:r w:rsidRPr="00ED15FF">
        <w:rPr>
          <w:rFonts w:ascii="宋体" w:hAnsi="宋体" w:hint="eastAsia"/>
          <w:sz w:val="24"/>
        </w:rPr>
        <w:t>基金托管人已取得期货保证金存管银行资格，基金管理人授权基金托管人办理相关银期转账业务。</w:t>
      </w:r>
    </w:p>
    <w:p w14:paraId="52F87179" w14:textId="77777777" w:rsidR="004F5B35" w:rsidRPr="00ED15FF" w:rsidRDefault="008C7F89">
      <w:pPr>
        <w:tabs>
          <w:tab w:val="left" w:pos="3780"/>
        </w:tabs>
        <w:spacing w:line="360" w:lineRule="auto"/>
        <w:outlineLvl w:val="0"/>
        <w:rPr>
          <w:rFonts w:ascii="宋体" w:hAnsi="宋体"/>
          <w:b/>
          <w:bCs/>
          <w:sz w:val="24"/>
        </w:rPr>
      </w:pPr>
      <w:r w:rsidRPr="00ED15FF">
        <w:rPr>
          <w:rFonts w:ascii="宋体" w:hAnsi="宋体" w:hint="eastAsia"/>
          <w:b/>
          <w:bCs/>
          <w:sz w:val="24"/>
        </w:rPr>
        <w:t>（七）</w:t>
      </w:r>
      <w:bookmarkStart w:id="44" w:name="_Toc18332634"/>
      <w:r w:rsidRPr="00ED15FF">
        <w:rPr>
          <w:rFonts w:ascii="宋体" w:hAnsi="宋体"/>
          <w:b/>
          <w:bCs/>
          <w:sz w:val="24"/>
        </w:rPr>
        <w:t>基金投资银行存款账户的开立和管理</w:t>
      </w:r>
      <w:bookmarkEnd w:id="44"/>
    </w:p>
    <w:p w14:paraId="20260A39"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存款账户必须以基金名义开立，账户名称为基金名称，存款账户开户文件上加盖预留印鉴（须包括托管人印章）及基金管理人公章。</w:t>
      </w:r>
    </w:p>
    <w:p w14:paraId="6E62E952"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本基金投资银行存款时，基金管理人应当与存款银行签订具体存款协议或存款确认单据，明确存款的类型、期限、利率、金额、账号、对账方式、支取方式等细则。</w:t>
      </w:r>
    </w:p>
    <w:p w14:paraId="639DECF7"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为防范特殊情况下的流动性风险，定期存款协议中应当约定提前支取条款。</w:t>
      </w:r>
    </w:p>
    <w:p w14:paraId="3C98BB70" w14:textId="77777777" w:rsidR="004F5B35" w:rsidRPr="00ED15FF" w:rsidRDefault="008C7F89">
      <w:pPr>
        <w:tabs>
          <w:tab w:val="num" w:pos="1260"/>
        </w:tabs>
        <w:spacing w:line="360" w:lineRule="auto"/>
        <w:rPr>
          <w:rFonts w:ascii="宋体"/>
          <w:b/>
          <w:sz w:val="24"/>
        </w:rPr>
      </w:pPr>
      <w:r w:rsidRPr="00ED15FF">
        <w:rPr>
          <w:rFonts w:ascii="宋体" w:hAnsi="宋体" w:hint="eastAsia"/>
          <w:b/>
          <w:sz w:val="24"/>
        </w:rPr>
        <w:t>（八）其他账户的开立和管理</w:t>
      </w:r>
    </w:p>
    <w:p w14:paraId="4A5B8D41" w14:textId="77777777" w:rsidR="004F5B35" w:rsidRPr="00ED15FF" w:rsidRDefault="008C7F89">
      <w:pPr>
        <w:pStyle w:val="2"/>
      </w:pPr>
      <w:r w:rsidRPr="00ED15FF">
        <w:rPr>
          <w:rFonts w:hint="eastAsia"/>
        </w:rPr>
        <w:t>若中国证监会或其他监管机构在本托管协议订立日之后允许基金从事其他投资品种的投资业务，涉及相关账户的开立、使用的，由基金管理人协助基金</w:t>
      </w:r>
      <w:r w:rsidRPr="00ED15FF">
        <w:rPr>
          <w:rFonts w:hint="eastAsia"/>
        </w:rPr>
        <w:lastRenderedPageBreak/>
        <w:t>托管人根据有关法律法规的规定和《基金合同》的约定，开立有关账户。该账户按有关规则使用并管理。</w:t>
      </w:r>
    </w:p>
    <w:p w14:paraId="3546E116"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（九</w:t>
      </w:r>
      <w:r w:rsidRPr="00ED15FF">
        <w:rPr>
          <w:rFonts w:ascii="宋体" w:hAnsi="宋体"/>
          <w:b/>
          <w:bCs/>
          <w:sz w:val="24"/>
        </w:rPr>
        <w:t>）基金财产投资的有关实物证券、银行存款定期存单等有价凭证的保管</w:t>
      </w:r>
      <w:bookmarkEnd w:id="41"/>
      <w:bookmarkEnd w:id="42"/>
    </w:p>
    <w:p w14:paraId="7B35E719" w14:textId="77777777" w:rsidR="004F5B35" w:rsidRPr="00ED15FF" w:rsidRDefault="008C7F89">
      <w:pPr>
        <w:tabs>
          <w:tab w:val="num" w:pos="1260"/>
        </w:tabs>
        <w:spacing w:line="360" w:lineRule="auto"/>
        <w:ind w:firstLine="480"/>
        <w:rPr>
          <w:rFonts w:ascii="宋体"/>
          <w:color w:val="000000"/>
          <w:sz w:val="24"/>
        </w:rPr>
      </w:pPr>
      <w:r w:rsidRPr="00ED15FF">
        <w:rPr>
          <w:rFonts w:ascii="宋体" w:hAnsi="宋体" w:hint="eastAsia"/>
          <w:sz w:val="24"/>
        </w:rPr>
        <w:t>实物证券由基金托管人存放于基金托管人的保管库。实物证券的购买和转让，由基金托管人根据基金管理人的指令办理。</w:t>
      </w:r>
      <w:r w:rsidRPr="00ED15FF">
        <w:rPr>
          <w:rFonts w:ascii="宋体" w:hAnsi="宋体" w:hint="eastAsia"/>
          <w:color w:val="000000"/>
          <w:sz w:val="24"/>
        </w:rPr>
        <w:t>基金托管人对由基金托管人以外机构实际有效控制的本基金资产不承担保管责任。</w:t>
      </w:r>
    </w:p>
    <w:p w14:paraId="5DEFAFAD"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银行存款定期存单等有价凭证由基金托管人负责保管。</w:t>
      </w:r>
    </w:p>
    <w:p w14:paraId="4F337AF4" w14:textId="77777777" w:rsidR="004F5B35" w:rsidRPr="00ED15FF" w:rsidRDefault="008C7F89">
      <w:pPr>
        <w:spacing w:line="360" w:lineRule="auto"/>
        <w:ind w:firstLine="480"/>
        <w:rPr>
          <w:spacing w:val="-4"/>
          <w:sz w:val="24"/>
        </w:rPr>
      </w:pPr>
      <w:bookmarkStart w:id="45" w:name="_Toc37159180"/>
      <w:bookmarkStart w:id="46" w:name="_Toc77663004"/>
      <w:r w:rsidRPr="00ED15FF">
        <w:rPr>
          <w:rFonts w:ascii="宋体" w:hAnsi="宋体" w:hint="eastAsia"/>
          <w:sz w:val="24"/>
        </w:rPr>
        <w:t>基金托管人只负责对存款证实书进行保管，不负责对存款证实书真伪的辨别，不承担存款证实书对应存款的本金及收益的安全保管责任。</w:t>
      </w:r>
    </w:p>
    <w:p w14:paraId="0500CD31"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（十</w:t>
      </w:r>
      <w:r w:rsidRPr="00ED15FF">
        <w:rPr>
          <w:rFonts w:ascii="宋体" w:hAnsi="宋体"/>
          <w:b/>
          <w:bCs/>
          <w:sz w:val="24"/>
        </w:rPr>
        <w:t>）与基金财产有关的重大合同的保管</w:t>
      </w:r>
      <w:bookmarkEnd w:id="45"/>
      <w:bookmarkEnd w:id="46"/>
    </w:p>
    <w:p w14:paraId="0ACC8F85"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64AA9610"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对于无法取得二份以上的正本的，基金管理人应向基金托管人提供加盖授权业务章的合同传真件，未经双方协商或未在合同约定范围内，合同原件不得转移。</w:t>
      </w:r>
      <w:bookmarkStart w:id="47" w:name="_Toc466788855"/>
      <w:bookmarkStart w:id="48" w:name="_Toc523829996"/>
      <w:bookmarkStart w:id="49" w:name="_Toc125892442"/>
    </w:p>
    <w:p w14:paraId="7F4BDF37" w14:textId="77777777" w:rsidR="004F5B35" w:rsidRPr="00ED15FF" w:rsidRDefault="008C7F89">
      <w:pPr>
        <w:pStyle w:val="117"/>
      </w:pPr>
      <w:bookmarkStart w:id="50" w:name="_Toc516233746"/>
      <w:r w:rsidRPr="00ED15FF">
        <w:t>六、指令的发送、确认和执行</w:t>
      </w:r>
      <w:bookmarkEnd w:id="47"/>
      <w:bookmarkEnd w:id="48"/>
      <w:bookmarkEnd w:id="49"/>
      <w:bookmarkEnd w:id="50"/>
    </w:p>
    <w:p w14:paraId="1CBF4768" w14:textId="77777777" w:rsidR="004F5B35" w:rsidRPr="00ED15FF" w:rsidRDefault="008C7F89">
      <w:pPr>
        <w:tabs>
          <w:tab w:val="left" w:pos="3780"/>
        </w:tabs>
        <w:spacing w:line="360" w:lineRule="auto"/>
        <w:outlineLvl w:val="0"/>
        <w:rPr>
          <w:rFonts w:ascii="宋体"/>
          <w:b/>
          <w:bCs/>
          <w:sz w:val="24"/>
        </w:rPr>
      </w:pPr>
      <w:bookmarkStart w:id="51" w:name="_Toc77663006"/>
      <w:r w:rsidRPr="00ED15FF">
        <w:rPr>
          <w:rFonts w:ascii="宋体" w:hAnsi="宋体"/>
          <w:b/>
          <w:bCs/>
          <w:sz w:val="24"/>
        </w:rPr>
        <w:t>（一）基金管理人对发送指令人员的书面授权</w:t>
      </w:r>
      <w:bookmarkEnd w:id="51"/>
    </w:p>
    <w:p w14:paraId="71230F29"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应事先书面通知（以下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盖公章。基金管理人发出授权通知后，以电话形式及双方认可的其他形式向基金托管人确认，授权通知自其上面注明的启用日期开始生效，在此后三个工作日内基金管理人应将授权通知的正本送交基金托管人。</w:t>
      </w:r>
    </w:p>
    <w:p w14:paraId="6909827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基金托管人收到授权通知后，将签字和印鉴与预留样本核对无误后，应在收到授权通知当日电话向基金管理人确认。</w:t>
      </w:r>
    </w:p>
    <w:p w14:paraId="2CDE0E48"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lastRenderedPageBreak/>
        <w:t>基金管理人和基金托管人对授权文件负有保密义务，其内容不得向</w:t>
      </w:r>
      <w:r w:rsidRPr="00ED15FF">
        <w:rPr>
          <w:rFonts w:ascii="宋体" w:hAnsi="宋体"/>
          <w:sz w:val="24"/>
        </w:rPr>
        <w:t>授权人、被授权人及相关操作人员以外的任何人泄露</w:t>
      </w:r>
      <w:r w:rsidRPr="00ED15FF">
        <w:rPr>
          <w:rFonts w:ascii="宋体" w:hAnsi="宋体" w:hint="eastAsia"/>
          <w:sz w:val="24"/>
        </w:rPr>
        <w:t>，法律法规另有规定或有权机关另有要求的除外</w:t>
      </w:r>
      <w:r w:rsidRPr="00ED15FF">
        <w:rPr>
          <w:rFonts w:ascii="宋体" w:hAnsi="宋体"/>
          <w:sz w:val="24"/>
        </w:rPr>
        <w:t>。</w:t>
      </w:r>
      <w:bookmarkStart w:id="52" w:name="_Toc77663007"/>
    </w:p>
    <w:p w14:paraId="5DD6A2D7"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（二）指令的内容</w:t>
      </w:r>
      <w:bookmarkEnd w:id="52"/>
    </w:p>
    <w:p w14:paraId="0E320546"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指令是基金管理人在运用基金资产时，向基金托管人发出的资金划拨及其他款项收付的指令。</w:t>
      </w:r>
      <w:bookmarkStart w:id="53" w:name="_Toc77663008"/>
      <w:r w:rsidRPr="00ED15FF">
        <w:rPr>
          <w:rFonts w:ascii="宋体" w:hAnsi="宋体" w:hint="eastAsia"/>
          <w:sz w:val="24"/>
        </w:rPr>
        <w:t>指令应写明款项事由、支付时间、到账时间、金额、</w:t>
      </w:r>
      <w:r w:rsidRPr="00ED15FF">
        <w:rPr>
          <w:rFonts w:ascii="宋体" w:hAnsi="宋体"/>
          <w:sz w:val="24"/>
        </w:rPr>
        <w:t>收款账户、大额支付号等执行支付所需内容，加盖预留印鉴。</w:t>
      </w:r>
    </w:p>
    <w:p w14:paraId="300108E0" w14:textId="77777777" w:rsidR="004F5B35" w:rsidRPr="00ED15FF" w:rsidRDefault="008C7F89">
      <w:pPr>
        <w:tabs>
          <w:tab w:val="num" w:pos="1260"/>
        </w:tabs>
        <w:spacing w:line="360" w:lineRule="auto"/>
        <w:rPr>
          <w:rFonts w:ascii="宋体"/>
          <w:b/>
          <w:bCs/>
          <w:sz w:val="24"/>
        </w:rPr>
      </w:pPr>
      <w:r w:rsidRPr="00ED15FF">
        <w:rPr>
          <w:rFonts w:ascii="宋体" w:hAnsi="宋体" w:hint="eastAsia"/>
          <w:b/>
          <w:bCs/>
          <w:sz w:val="24"/>
        </w:rPr>
        <w:t>（三）指令的发送、确认和执行</w:t>
      </w:r>
      <w:bookmarkEnd w:id="53"/>
      <w:r w:rsidRPr="00ED15FF">
        <w:rPr>
          <w:rFonts w:ascii="宋体" w:hAnsi="宋体" w:hint="eastAsia"/>
          <w:b/>
          <w:bCs/>
          <w:sz w:val="24"/>
        </w:rPr>
        <w:t>的时间和程序</w:t>
      </w:r>
    </w:p>
    <w:p w14:paraId="32BE46ED" w14:textId="6B207E00"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应按照《基金法》及其他有关法规、《基金合同》和本协议的规定，在其合法的经营权限和交易权限内发送指令，被授权人应按照其授权权限发送指令。指令由“授权通知”确定的被授权人代表基金管理人</w:t>
      </w:r>
      <w:r w:rsidRPr="00ED15FF">
        <w:rPr>
          <w:rFonts w:ascii="宋体" w:hAnsi="宋体"/>
          <w:sz w:val="24"/>
        </w:rPr>
        <w:t>向基金托管人发送。发送后基金管理人及时通过电话与基金托管人确认指令内容。</w:t>
      </w:r>
      <w:r w:rsidRPr="00ED15FF">
        <w:rPr>
          <w:rFonts w:hAnsi="宋体" w:hint="eastAsia"/>
          <w:sz w:val="24"/>
        </w:rPr>
        <w:t>基金管理人必须在</w:t>
      </w:r>
      <w:r w:rsidRPr="00ED15FF">
        <w:rPr>
          <w:rFonts w:hAnsi="宋体"/>
          <w:sz w:val="24"/>
        </w:rPr>
        <w:t>15:00</w:t>
      </w:r>
      <w:r w:rsidRPr="00ED15FF">
        <w:rPr>
          <w:rFonts w:hAnsi="宋体" w:hint="eastAsia"/>
          <w:sz w:val="24"/>
        </w:rPr>
        <w:t>之前向基金托管人发送付款指令并确保基金银行账户有足够的资金余额，</w:t>
      </w:r>
      <w:r w:rsidRPr="00ED15FF">
        <w:rPr>
          <w:rFonts w:hAnsi="宋体"/>
          <w:sz w:val="24"/>
        </w:rPr>
        <w:t>15:00</w:t>
      </w:r>
      <w:r w:rsidRPr="00ED15FF">
        <w:rPr>
          <w:rFonts w:hAnsi="宋体" w:hint="eastAsia"/>
          <w:sz w:val="24"/>
        </w:rPr>
        <w:t>之后发送付款指令或截至</w:t>
      </w:r>
      <w:r w:rsidRPr="00ED15FF">
        <w:rPr>
          <w:rFonts w:hAnsi="宋体"/>
          <w:sz w:val="24"/>
        </w:rPr>
        <w:t>15:00</w:t>
      </w:r>
      <w:r w:rsidRPr="00ED15FF">
        <w:rPr>
          <w:rFonts w:hAnsi="宋体" w:hint="eastAsia"/>
          <w:sz w:val="24"/>
        </w:rPr>
        <w:t>时账户资金不足的，基金托管人不能保证在当日完成划付。对基金管理人在没有充足资金的情况下向基金托管人发出的指令，基金托管人可不予执行，并立即通知基金管理人，基金托管人不承担因为不执行该指令而造成损失的责任。如基金管理人要求当天某一时点到账，必须至少提前</w:t>
      </w:r>
      <w:r w:rsidRPr="00ED15FF">
        <w:rPr>
          <w:rFonts w:hAnsi="宋体"/>
          <w:sz w:val="24"/>
        </w:rPr>
        <w:t>2</w:t>
      </w:r>
      <w:r w:rsidRPr="00ED15FF">
        <w:rPr>
          <w:rFonts w:hAnsi="宋体" w:hint="eastAsia"/>
          <w:sz w:val="24"/>
        </w:rPr>
        <w:t>个</w:t>
      </w:r>
      <w:r w:rsidRPr="00ED15FF">
        <w:rPr>
          <w:rFonts w:hAnsi="宋体"/>
          <w:sz w:val="24"/>
        </w:rPr>
        <w:t>工作</w:t>
      </w:r>
      <w:r w:rsidRPr="00ED15FF">
        <w:rPr>
          <w:rFonts w:hAnsi="宋体" w:hint="eastAsia"/>
          <w:sz w:val="24"/>
        </w:rPr>
        <w:t>小时向基金托管人发送付款指令并与基金托管人电话确认。基金管理人指令传输及确认不及时或账户资金不足，未能留出足够的执行时间，致使指令未能及时执行的，基金托管人不承担由此导致的损失。基金管理人应将银行间市场成交单加盖预留印鉴后传真给基金托管人。</w:t>
      </w:r>
      <w:r w:rsidRPr="00ED15FF">
        <w:rPr>
          <w:rFonts w:ascii="宋体" w:hAnsi="宋体" w:hint="eastAsia"/>
          <w:sz w:val="24"/>
        </w:rPr>
        <w:t>对于被授权人发出的指令，基金管理人不得否认其效力。基金托管人依照“授权通知”规定的方法确认指令的有效后，方可执行指令。</w:t>
      </w:r>
      <w:r w:rsidRPr="00ED15FF">
        <w:rPr>
          <w:rFonts w:ascii="宋体" w:hAnsi="宋体" w:cs="Arial"/>
          <w:sz w:val="24"/>
        </w:rPr>
        <w:t>基金托管人仅根据基金管理人的授权文件对指令进行表面相符性的形式审查，对其真实性不承担责任。</w:t>
      </w:r>
    </w:p>
    <w:p w14:paraId="48B3CBDD"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（四）基金管理人发送错误指令的情形和处理程序</w:t>
      </w:r>
    </w:p>
    <w:p w14:paraId="34A0A7FD"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发送错误指令的情形包括指令发送人员无权或超越权限发送指令及交割信息错误，指令中重要信息模糊不清或不全等。基金托管人在履行监督职能时，发现基金管理人的指令错误时，有权视情况暂缓或拒绝执行，并及</w:t>
      </w:r>
      <w:r w:rsidRPr="00ED15FF">
        <w:rPr>
          <w:rFonts w:ascii="宋体" w:hAnsi="宋体" w:hint="eastAsia"/>
          <w:sz w:val="24"/>
        </w:rPr>
        <w:lastRenderedPageBreak/>
        <w:t>时通知基金管理人改正。</w:t>
      </w:r>
      <w:r w:rsidRPr="00ED15FF">
        <w:rPr>
          <w:rFonts w:ascii="宋体" w:hAnsi="宋体"/>
          <w:sz w:val="24"/>
        </w:rPr>
        <w:t xml:space="preserve"> </w:t>
      </w:r>
    </w:p>
    <w:p w14:paraId="1259726C"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（五）基金托管人依照法律法规暂缓、拒绝执行指令的情形和处理程序</w:t>
      </w:r>
    </w:p>
    <w:p w14:paraId="0C87671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在对基金场外投资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14:paraId="418A8644"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在对基金场外投资指令进行审核时，如发现投资指令有可能违反法律法规、《基金合同》、本协议的规定，应暂缓执行指令，通知基金管理人改正。如果基金管理人拒不改正，基金托管人有权向中国证监会报告。</w:t>
      </w:r>
    </w:p>
    <w:p w14:paraId="7A4DBF48"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（六）基金托管人未按照基金管理人指令执行的处理方法</w:t>
      </w:r>
    </w:p>
    <w:p w14:paraId="13B03288"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基金托管人由于自身原因造成未按照基金管理人发送的正常指令执行，应在发现后及时采取措施予以弥补，</w:t>
      </w:r>
      <w:r w:rsidRPr="00ED15FF">
        <w:rPr>
          <w:rFonts w:ascii="宋体" w:hAnsi="宋体"/>
          <w:sz w:val="24"/>
        </w:rPr>
        <w:t>给基金份额持有人、</w:t>
      </w:r>
      <w:r w:rsidRPr="00ED15FF">
        <w:rPr>
          <w:rFonts w:ascii="宋体" w:hAnsi="宋体" w:hint="eastAsia"/>
          <w:sz w:val="24"/>
        </w:rPr>
        <w:t>基金财产、基金管理人</w:t>
      </w:r>
      <w:r w:rsidRPr="00ED15FF">
        <w:rPr>
          <w:rFonts w:ascii="宋体" w:hAnsi="宋体"/>
          <w:sz w:val="24"/>
        </w:rPr>
        <w:t>造成损失的，对由此造成的直接经济损失负赔偿责任。</w:t>
      </w:r>
      <w:bookmarkStart w:id="54" w:name="_Toc77663009"/>
    </w:p>
    <w:p w14:paraId="698F4B2B"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（七）被授权人</w:t>
      </w:r>
      <w:bookmarkEnd w:id="54"/>
      <w:r w:rsidRPr="00ED15FF">
        <w:rPr>
          <w:rFonts w:ascii="宋体" w:hAnsi="宋体" w:hint="eastAsia"/>
          <w:b/>
          <w:bCs/>
          <w:sz w:val="24"/>
        </w:rPr>
        <w:t>员的更换</w:t>
      </w:r>
    </w:p>
    <w:p w14:paraId="3943A09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撤换被授权人员或改变被授权人员的权限，必须提前至少三个工作日，使用传真向基金托管人发出加盖公章的被授权人变更通知，注明启用日期，同时电话通知基金托管人。被授权人变更通知自其上面注明的启用日期起开始生效。基金管理人对授权通知的内容的修改自启用日期起生效。基金管理人在此后三个工作日内将被授权人变更通知的正本送交基金托管人。</w:t>
      </w:r>
    </w:p>
    <w:p w14:paraId="72739C63"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如果基金管理人已经撤销或更改对指令发送人员的授权，并且书面通知基金托管人，则对于在变更通知的启用日期后该指令发送人员无权发送的指令，或超权限发送的指令，基金管理人不承担责任。</w:t>
      </w:r>
    </w:p>
    <w:p w14:paraId="58436744" w14:textId="77777777" w:rsidR="004F5B35" w:rsidRPr="00ED15FF" w:rsidRDefault="008C7F89">
      <w:pPr>
        <w:pStyle w:val="117"/>
      </w:pPr>
      <w:bookmarkStart w:id="55" w:name="_Toc466788856"/>
      <w:bookmarkStart w:id="56" w:name="_Toc523829997"/>
      <w:bookmarkStart w:id="57" w:name="_Toc22454451"/>
      <w:bookmarkStart w:id="58" w:name="_Toc125892443"/>
      <w:bookmarkStart w:id="59" w:name="_Toc516233747"/>
      <w:r w:rsidRPr="00ED15FF">
        <w:t>七、交易及清算交收安排</w:t>
      </w:r>
      <w:bookmarkEnd w:id="55"/>
      <w:bookmarkEnd w:id="56"/>
      <w:bookmarkEnd w:id="57"/>
      <w:bookmarkEnd w:id="58"/>
      <w:bookmarkEnd w:id="59"/>
    </w:p>
    <w:p w14:paraId="2CDD8BB9" w14:textId="77777777" w:rsidR="004F5B35" w:rsidRPr="00ED15FF" w:rsidRDefault="008C7F89">
      <w:pPr>
        <w:tabs>
          <w:tab w:val="left" w:pos="3780"/>
        </w:tabs>
        <w:spacing w:line="360" w:lineRule="auto"/>
        <w:outlineLvl w:val="0"/>
        <w:rPr>
          <w:rFonts w:ascii="宋体"/>
          <w:b/>
          <w:bCs/>
          <w:sz w:val="24"/>
        </w:rPr>
      </w:pPr>
      <w:bookmarkStart w:id="60" w:name="_Toc22454452"/>
      <w:bookmarkStart w:id="61" w:name="_Toc77663011"/>
      <w:r w:rsidRPr="00ED15FF">
        <w:rPr>
          <w:rFonts w:ascii="宋体" w:hAnsi="宋体" w:hint="eastAsia"/>
          <w:b/>
          <w:bCs/>
          <w:sz w:val="24"/>
        </w:rPr>
        <w:t>（一）选择代理证券、期货买卖的证券、期货</w:t>
      </w:r>
      <w:r w:rsidRPr="00ED15FF">
        <w:rPr>
          <w:rFonts w:ascii="宋体" w:hAnsi="宋体"/>
          <w:b/>
          <w:bCs/>
          <w:sz w:val="24"/>
        </w:rPr>
        <w:t>经营机构的标准和程序</w:t>
      </w:r>
      <w:bookmarkEnd w:id="60"/>
      <w:bookmarkEnd w:id="61"/>
    </w:p>
    <w:p w14:paraId="4A4600E3"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基金管理人负责选择代理本基金证券、期货买卖的证券、期货经营机构。</w:t>
      </w:r>
    </w:p>
    <w:p w14:paraId="7A9CE5A5" w14:textId="588EC96C"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基金管理人应代表基金与被选择的证券经营机构签订交易单元租用协议。基金管理人应及时将基金交易单元号、佣金费率等基本信息以及变更情况</w:t>
      </w:r>
      <w:r w:rsidRPr="00ED15FF">
        <w:rPr>
          <w:rFonts w:ascii="宋体" w:hAnsi="宋体"/>
          <w:sz w:val="24"/>
        </w:rPr>
        <w:t>以书面形式通知基金托管人，并在法定信息披露公告中披露相关内容。</w:t>
      </w:r>
    </w:p>
    <w:p w14:paraId="7022DB55" w14:textId="77777777" w:rsidR="004F5B35" w:rsidRPr="00ED15FF" w:rsidRDefault="008C7F89">
      <w:pPr>
        <w:tabs>
          <w:tab w:val="num" w:pos="1260"/>
        </w:tabs>
        <w:spacing w:line="360" w:lineRule="auto"/>
        <w:ind w:firstLine="480"/>
        <w:rPr>
          <w:rFonts w:ascii="宋体"/>
          <w:sz w:val="24"/>
        </w:rPr>
      </w:pPr>
      <w:r w:rsidRPr="00ED15FF">
        <w:rPr>
          <w:rFonts w:ascii="宋体" w:hint="eastAsia"/>
          <w:sz w:val="24"/>
        </w:rPr>
        <w:lastRenderedPageBreak/>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04453768" w14:textId="77777777" w:rsidR="004F5B35" w:rsidRPr="00ED15FF" w:rsidRDefault="008C7F89">
      <w:pPr>
        <w:tabs>
          <w:tab w:val="num" w:pos="1260"/>
        </w:tabs>
        <w:spacing w:line="360" w:lineRule="auto"/>
        <w:ind w:firstLine="482"/>
        <w:rPr>
          <w:rFonts w:ascii="宋体"/>
          <w:b/>
          <w:bCs/>
          <w:sz w:val="24"/>
        </w:rPr>
      </w:pPr>
      <w:bookmarkStart w:id="62" w:name="_Toc77663012"/>
      <w:r w:rsidRPr="00ED15FF">
        <w:rPr>
          <w:rFonts w:ascii="宋体" w:hAnsi="宋体" w:hint="eastAsia"/>
          <w:b/>
          <w:bCs/>
          <w:sz w:val="24"/>
        </w:rPr>
        <w:t>（二）基金投资证券后的清算</w:t>
      </w:r>
      <w:bookmarkEnd w:id="62"/>
      <w:r w:rsidRPr="00ED15FF">
        <w:rPr>
          <w:rFonts w:ascii="宋体" w:hAnsi="宋体" w:hint="eastAsia"/>
          <w:b/>
          <w:bCs/>
          <w:sz w:val="24"/>
        </w:rPr>
        <w:t>交收安排</w:t>
      </w:r>
    </w:p>
    <w:p w14:paraId="6E6B371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）资金划拨</w:t>
      </w:r>
    </w:p>
    <w:p w14:paraId="222C8069" w14:textId="78D22526"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对于基金管理人的资金划拨指令，基金托管人在复核无误后应在规定期限内执行，不得延误。基金管理人应保证基金托管人在执行基金管理人发送的资金划拨指令时，基金银行账户或资金交收账户上有充足的资金。基金的资金头寸不足时，基金托管人有权拒绝基金管理人发送的划款指令，并及时通知基金管理人。基金管理人在发送划款指令时应充分考虑基金托管人的划款处理时间和在途时间。在基金资金头寸充足的情况下，基金托管人对基金管理人符合法律法规、《基金合同》、本协议的指令不得拖延或拒绝执行。对超头寸的划款指令，基金托管人有权止付但应及时电话通知基金管理人，由此造成的损失基金托管人不承担责任。</w:t>
      </w:r>
    </w:p>
    <w:p w14:paraId="2047121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）结算方式</w:t>
      </w:r>
    </w:p>
    <w:p w14:paraId="618DBCF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支付结算以转账形式进行。如中国人民银行有更快捷、安全、可行的结算方式，基金托管人可根据需要进行调整。</w:t>
      </w:r>
    </w:p>
    <w:p w14:paraId="1596596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）证券交易资金的清算</w:t>
      </w:r>
    </w:p>
    <w:p w14:paraId="43F13EFA"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本基金投资于证券而发生的场内、场外交易的清算交割，由基金托管人负责办理。</w:t>
      </w:r>
    </w:p>
    <w:p w14:paraId="1909E63F" w14:textId="30E818BE" w:rsidR="004F5B35" w:rsidRPr="00ED15FF" w:rsidRDefault="008C7F89" w:rsidP="00B97F84">
      <w:pPr>
        <w:pBdr>
          <w:top w:val="none" w:sz="4" w:space="0" w:color="000000"/>
          <w:left w:val="none" w:sz="4" w:space="0" w:color="000000"/>
          <w:bottom w:val="none" w:sz="4" w:space="0" w:color="000000"/>
          <w:right w:val="none" w:sz="4" w:space="0" w:color="000000"/>
        </w:pBdr>
        <w:rPr>
          <w:sz w:val="22"/>
        </w:rPr>
      </w:pPr>
      <w:r w:rsidRPr="00ED15FF">
        <w:rPr>
          <w:rFonts w:ascii="宋体" w:hAnsi="宋体" w:hint="eastAsia"/>
          <w:sz w:val="24"/>
        </w:rPr>
        <w:t>本基金场外证券投资的清算交割，由基金托管人根据基金管理人的指令通过登记结算机构办理。本基金场内证券投资的清算交割，</w:t>
      </w:r>
      <w:r w:rsidRPr="00ED15FF">
        <w:rPr>
          <w:rFonts w:ascii="宋体" w:eastAsia="宋体" w:hAnsi="宋体" w:cs="宋体"/>
          <w:color w:val="000000"/>
          <w:sz w:val="24"/>
        </w:rPr>
        <w:t>由基金托管人根据双方签订的《托管银行证券资金结算协议》约定，</w:t>
      </w:r>
      <w:r w:rsidRPr="00ED15FF">
        <w:rPr>
          <w:rFonts w:ascii="宋体" w:hAnsi="宋体"/>
          <w:sz w:val="24"/>
        </w:rPr>
        <w:t>由基金托管人负责办理。但本基金场内证券投资涉及T+0日非担保、RTGS交收的业务，基金管理人应在T+0日15：00前书面通知基金托管人办理交收，否则基金托管人不能保证相关清算交割成功。如因基金托管人的自身原因在清算上造成基金资产的损失，应由基金托管人负责赔偿基金的损失；如果因为基金管理人投资</w:t>
      </w:r>
      <w:r w:rsidRPr="00ED15FF">
        <w:rPr>
          <w:rFonts w:ascii="宋体" w:hAnsi="宋体" w:hint="eastAsia"/>
          <w:sz w:val="24"/>
        </w:rPr>
        <w:t>运作而造成基金投资清算困难和风险的，基金托管人发现后应立即通知基金管理人，由基金管理人负责解决，基金托管人应给予必要的配合，由此给</w:t>
      </w:r>
      <w:r w:rsidRPr="00ED15FF">
        <w:rPr>
          <w:rFonts w:ascii="宋体" w:eastAsia="宋体" w:hAnsi="宋体" w:cs="宋体"/>
          <w:color w:val="000000"/>
          <w:sz w:val="24"/>
        </w:rPr>
        <w:t>基金托管人和本基金、基金托管人托管的其他资产造成的损失</w:t>
      </w:r>
      <w:r w:rsidRPr="00ED15FF">
        <w:rPr>
          <w:rFonts w:ascii="宋体" w:hAnsi="宋体"/>
          <w:sz w:val="24"/>
        </w:rPr>
        <w:t>由基金管理人承担。</w:t>
      </w:r>
    </w:p>
    <w:p w14:paraId="2BD2C82B"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基金托管人在完成相关登记结算公司通知的事项后应以书面形式通知基金管理人。</w:t>
      </w:r>
    </w:p>
    <w:p w14:paraId="5055E5D3"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由于基金管理人的原因造成基金无法按时支付证券清算款，按照登记结算</w:t>
      </w:r>
      <w:r w:rsidRPr="00ED15FF">
        <w:rPr>
          <w:rFonts w:ascii="宋体" w:hAnsi="宋体" w:hint="eastAsia"/>
          <w:sz w:val="24"/>
        </w:rPr>
        <w:lastRenderedPageBreak/>
        <w:t>机构的有关规定办理。</w:t>
      </w:r>
    </w:p>
    <w:p w14:paraId="0A5E9F14" w14:textId="77777777" w:rsidR="004F5B35" w:rsidRPr="00ED15FF" w:rsidRDefault="008C7F89">
      <w:pPr>
        <w:tabs>
          <w:tab w:val="left" w:pos="1260"/>
        </w:tabs>
        <w:spacing w:line="85" w:lineRule="atLeast"/>
        <w:ind w:firstLine="480"/>
      </w:pPr>
      <w:r w:rsidRPr="00ED15FF">
        <w:rPr>
          <w:rFonts w:ascii="宋体" w:hAnsi="宋体" w:cs="宋体"/>
          <w:color w:val="000000"/>
          <w:sz w:val="24"/>
        </w:rPr>
        <w:t>本基金参与港股通交易时，基金管理人应事先书面通知基金托管人，明确交易单元、佣金费率等相关信息，在托管人完成相关设置后方可开展交易。若涉及需基金管理人做出选择的港股通公司行为，基金托管人根据基金管理人提供的数据将基金管理人的选择结果提交给中国结算。</w:t>
      </w:r>
    </w:p>
    <w:p w14:paraId="6B098A6B" w14:textId="77777777" w:rsidR="004F5B35" w:rsidRPr="00ED15FF" w:rsidRDefault="008C7F89">
      <w:pPr>
        <w:spacing w:line="85" w:lineRule="atLeast"/>
        <w:ind w:firstLine="480"/>
      </w:pPr>
      <w:r w:rsidRPr="00ED15FF">
        <w:rPr>
          <w:rFonts w:ascii="宋体" w:hAnsi="宋体" w:cs="宋体"/>
          <w:color w:val="000000"/>
          <w:sz w:val="24"/>
        </w:rPr>
        <w:t>信用衍生品信用事件发生后，基金管理人根据交易所和登记结算机构的相关规则负责办理信用事件的处置，并将信用事件处置结果和结算安排告知基金托管人，基金托管人仅负责办理结算事宜。</w:t>
      </w:r>
    </w:p>
    <w:p w14:paraId="68102800" w14:textId="77777777" w:rsidR="004F5B35" w:rsidRPr="00ED15FF" w:rsidRDefault="004F5B35">
      <w:pPr>
        <w:tabs>
          <w:tab w:val="num" w:pos="1260"/>
        </w:tabs>
        <w:spacing w:line="360" w:lineRule="auto"/>
        <w:ind w:firstLine="480"/>
        <w:rPr>
          <w:rFonts w:ascii="宋体"/>
          <w:sz w:val="24"/>
        </w:rPr>
      </w:pPr>
    </w:p>
    <w:p w14:paraId="4EDB6F07" w14:textId="77777777" w:rsidR="004F5B35" w:rsidRPr="00ED15FF" w:rsidRDefault="008C7F89">
      <w:pPr>
        <w:tabs>
          <w:tab w:val="left" w:pos="3780"/>
        </w:tabs>
        <w:spacing w:line="360" w:lineRule="auto"/>
        <w:outlineLvl w:val="0"/>
        <w:rPr>
          <w:rFonts w:ascii="宋体"/>
          <w:b/>
          <w:bCs/>
          <w:sz w:val="24"/>
        </w:rPr>
      </w:pPr>
      <w:bookmarkStart w:id="63" w:name="_Toc77663013"/>
      <w:r w:rsidRPr="00ED15FF">
        <w:rPr>
          <w:rFonts w:ascii="宋体" w:hAnsi="宋体"/>
          <w:b/>
          <w:bCs/>
          <w:sz w:val="24"/>
        </w:rPr>
        <w:t>（三）基金管理人与基金托管人进行资金、证券账目和交易记录的核对</w:t>
      </w:r>
      <w:bookmarkEnd w:id="63"/>
    </w:p>
    <w:p w14:paraId="533F3004"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对基金的交易记录，由基金管理人与基金托管人按日进行核对。对外披露各类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14:paraId="3A21E67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对实物券账目，相关各方定期进行账实核对。</w:t>
      </w:r>
    </w:p>
    <w:p w14:paraId="4192407D" w14:textId="77777777" w:rsidR="004F5B35" w:rsidRPr="00ED15FF" w:rsidRDefault="008C7F89">
      <w:pPr>
        <w:tabs>
          <w:tab w:val="num" w:pos="1260"/>
        </w:tabs>
        <w:spacing w:line="360" w:lineRule="auto"/>
        <w:ind w:firstLine="480"/>
        <w:rPr>
          <w:rFonts w:ascii="宋体"/>
          <w:b/>
          <w:bCs/>
          <w:sz w:val="24"/>
        </w:rPr>
      </w:pPr>
      <w:r w:rsidRPr="00ED15FF">
        <w:rPr>
          <w:rFonts w:ascii="宋体" w:hAnsi="宋体" w:hint="eastAsia"/>
          <w:sz w:val="24"/>
        </w:rPr>
        <w:t>基金托管人应定期核对证券账户中的证券数量和种类。</w:t>
      </w:r>
    </w:p>
    <w:p w14:paraId="22C0C12C"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双方可协商采用电子对账方式进行账目核对。</w:t>
      </w:r>
    </w:p>
    <w:p w14:paraId="57BF6C94" w14:textId="77777777" w:rsidR="004F5B35" w:rsidRPr="00ED15FF" w:rsidRDefault="008C7F89">
      <w:pPr>
        <w:tabs>
          <w:tab w:val="left" w:pos="3780"/>
        </w:tabs>
        <w:spacing w:line="360" w:lineRule="auto"/>
        <w:outlineLvl w:val="0"/>
        <w:rPr>
          <w:rFonts w:ascii="宋体"/>
          <w:b/>
          <w:bCs/>
          <w:sz w:val="24"/>
        </w:rPr>
      </w:pPr>
      <w:bookmarkStart w:id="64" w:name="_Toc466788858"/>
      <w:bookmarkStart w:id="65" w:name="_Toc523829999"/>
      <w:r w:rsidRPr="00ED15FF">
        <w:rPr>
          <w:rFonts w:ascii="宋体" w:hAnsi="宋体" w:hint="eastAsia"/>
          <w:b/>
          <w:bCs/>
          <w:sz w:val="24"/>
        </w:rPr>
        <w:t>（四）申购、赎回、转换开放式基金的资金清算和数据传递的时间、程序及托管协议当事人的责任界定</w:t>
      </w:r>
    </w:p>
    <w:p w14:paraId="65B5616D"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基金托管账户与“基金清算账户”间的资金清算遵循“全额清算、净额交收”的原则，即每日（T日：资金交收日，下同）按照托管账户当日应收资金与托管账户应付额的差额来确定托管账户净应收额或净应付额，以此确定资金交收额。当存在托管账户净应收额时，基金管理人负责将托管账户净应收额在T日16:00前从“基金清算账户”划到基金托管账户；当存在托管账户净应付额时，基金管理人应在T日10点前将划款指令发送给基金托管人，基金托管行按基金管理人的划款指令将托管账户净应付额在T日12:00前划到“基金清算账户”。</w:t>
      </w:r>
    </w:p>
    <w:p w14:paraId="7A676F8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当存在资金账户净应付额时，如基金银行账户有足够的资金，基金托管人应按时拨付；因基金资金账户没有足够的资金，导致基金托管人不能按时拨付，基金托管人应及时通知基金管理人，基金托管人不承担责任；如系基金管理人</w:t>
      </w:r>
      <w:r w:rsidRPr="00ED15FF">
        <w:rPr>
          <w:rFonts w:ascii="宋体" w:hAnsi="宋体" w:hint="eastAsia"/>
          <w:sz w:val="24"/>
        </w:rPr>
        <w:lastRenderedPageBreak/>
        <w:t>的原因造成，责任由基金管理人承担，基金托管人不承担垫款义务。</w:t>
      </w:r>
    </w:p>
    <w:p w14:paraId="6D2DB10E"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（五）基金收益分配的清算交收安排</w:t>
      </w:r>
    </w:p>
    <w:p w14:paraId="0CEE5668"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）基金管理人决定收益分配方案并通知基金托管人，经基金托管人复核后公告。</w:t>
      </w:r>
      <w:r w:rsidRPr="00ED15FF">
        <w:rPr>
          <w:rFonts w:ascii="宋体" w:hAnsi="宋体"/>
          <w:sz w:val="24"/>
        </w:rPr>
        <w:t xml:space="preserve"> </w:t>
      </w:r>
    </w:p>
    <w:p w14:paraId="2E75920C"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）基金托管人和基金管理人对基金收益分配进行账务处理并核对后，基金管理人应及时向基金托管人发送分发现金红利的划款指令，基金托管人依据划款指令在指定划付日及时将资金划至基金管理人指定账户。</w:t>
      </w:r>
      <w:r w:rsidRPr="00ED15FF">
        <w:rPr>
          <w:rFonts w:ascii="宋体" w:hAnsi="宋体"/>
          <w:sz w:val="24"/>
        </w:rPr>
        <w:t xml:space="preserve"> </w:t>
      </w:r>
    </w:p>
    <w:p w14:paraId="6F70AE06"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w:t>
      </w:r>
      <w:r w:rsidRPr="00ED15FF">
        <w:rPr>
          <w:rFonts w:ascii="宋体" w:hAnsi="宋体"/>
          <w:sz w:val="24"/>
        </w:rPr>
        <w:t>3）基金管理人在下达分红款支付指令时，应给基金托管人留出必需的划款时间。</w:t>
      </w:r>
      <w:bookmarkStart w:id="66" w:name="_Toc125892444"/>
    </w:p>
    <w:p w14:paraId="50D109F3" w14:textId="77777777" w:rsidR="004F5B35" w:rsidRPr="00ED15FF" w:rsidRDefault="008C7F89">
      <w:pPr>
        <w:tabs>
          <w:tab w:val="num" w:pos="1260"/>
        </w:tabs>
        <w:spacing w:line="360" w:lineRule="auto"/>
        <w:rPr>
          <w:rFonts w:ascii="宋体" w:hAnsi="宋体"/>
          <w:sz w:val="24"/>
        </w:rPr>
      </w:pPr>
      <w:r w:rsidRPr="00ED15FF">
        <w:rPr>
          <w:rFonts w:ascii="宋体" w:hAnsi="宋体" w:hint="eastAsia"/>
          <w:b/>
          <w:bCs/>
          <w:sz w:val="24"/>
        </w:rPr>
        <w:t>（六）关于交易及清算交收安排应当按照本部分的规定或其他基金管理人和基金托管人双方书面共同确认的方式执行。</w:t>
      </w:r>
    </w:p>
    <w:p w14:paraId="7E778D29" w14:textId="77777777" w:rsidR="004F5B35" w:rsidRPr="00ED15FF" w:rsidRDefault="004F5B35">
      <w:pPr>
        <w:tabs>
          <w:tab w:val="num" w:pos="1260"/>
        </w:tabs>
        <w:spacing w:line="360" w:lineRule="auto"/>
        <w:ind w:firstLine="480"/>
        <w:rPr>
          <w:rFonts w:ascii="宋体"/>
          <w:sz w:val="24"/>
        </w:rPr>
      </w:pPr>
    </w:p>
    <w:p w14:paraId="4B6F4E96" w14:textId="77777777" w:rsidR="004F5B35" w:rsidRPr="00ED15FF" w:rsidRDefault="008C7F89">
      <w:pPr>
        <w:pStyle w:val="117"/>
      </w:pPr>
      <w:bookmarkStart w:id="67" w:name="_Toc516233748"/>
      <w:r w:rsidRPr="00ED15FF">
        <w:t>八、基金资产净值计算和会计核算</w:t>
      </w:r>
      <w:bookmarkEnd w:id="64"/>
      <w:bookmarkEnd w:id="65"/>
      <w:bookmarkEnd w:id="66"/>
      <w:bookmarkEnd w:id="67"/>
    </w:p>
    <w:p w14:paraId="0826B187" w14:textId="77777777" w:rsidR="004F5B35" w:rsidRPr="00ED15FF" w:rsidRDefault="008C7F89">
      <w:pPr>
        <w:tabs>
          <w:tab w:val="left" w:pos="3780"/>
        </w:tabs>
        <w:spacing w:line="360" w:lineRule="auto"/>
        <w:outlineLvl w:val="0"/>
        <w:rPr>
          <w:rFonts w:ascii="宋体"/>
          <w:b/>
          <w:bCs/>
          <w:sz w:val="24"/>
        </w:rPr>
      </w:pPr>
      <w:bookmarkStart w:id="68" w:name="_Toc77663017"/>
      <w:r w:rsidRPr="00ED15FF">
        <w:rPr>
          <w:rFonts w:ascii="宋体" w:hAnsi="宋体"/>
          <w:b/>
          <w:bCs/>
          <w:sz w:val="24"/>
        </w:rPr>
        <w:t>（一）基金资产净值及基金份额净值的计算与复核</w:t>
      </w:r>
      <w:bookmarkEnd w:id="68"/>
    </w:p>
    <w:p w14:paraId="4F754423" w14:textId="77777777" w:rsidR="004F5B35" w:rsidRPr="00ED15FF" w:rsidRDefault="008C7F89">
      <w:pPr>
        <w:spacing w:line="360" w:lineRule="auto"/>
        <w:ind w:firstLine="420"/>
        <w:jc w:val="left"/>
        <w:rPr>
          <w:rFonts w:ascii="宋体" w:cs="宋体"/>
          <w:sz w:val="24"/>
        </w:rPr>
      </w:pPr>
      <w:r w:rsidRPr="00ED15FF">
        <w:rPr>
          <w:rFonts w:ascii="宋体" w:hAnsi="宋体" w:hint="eastAsia"/>
          <w:sz w:val="24"/>
        </w:rPr>
        <w:t>基金资产净值是指基金资产总值减去基金负债后的价值。</w:t>
      </w:r>
    </w:p>
    <w:p w14:paraId="60C3C01D"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基金管理人应每个估值日对基金资产估值。估值原则应符合《基金合同》、《</w:t>
      </w:r>
      <w:bookmarkStart w:id="69" w:name="_Toc187224006"/>
      <w:r w:rsidRPr="00ED15FF">
        <w:rPr>
          <w:rFonts w:ascii="宋体" w:hAnsi="宋体" w:hint="eastAsia"/>
          <w:sz w:val="24"/>
        </w:rPr>
        <w:t>中国证监会关于证券投资基金估值业务的指导意见</w:t>
      </w:r>
      <w:bookmarkEnd w:id="69"/>
      <w:r w:rsidRPr="00ED15FF">
        <w:rPr>
          <w:rFonts w:ascii="宋体" w:hAnsi="宋体" w:hint="eastAsia"/>
          <w:sz w:val="24"/>
        </w:rPr>
        <w:t>》及其他法律、法规的规定。基金资产净值和各类基金份额净值由基金管理人负责计算，基金托管人复核。基金管理人应于每个开放日交易结束后计算当日的基金资产净值，以约定方式发送给基金托管人。但基金管理人根据法律法规或基金合同的规定暂停估值时除外。基金托管人对净值计算结果复核后，将复核结果反馈给基金管理人，由基金管理人对基金份额净值予以公布。</w:t>
      </w:r>
    </w:p>
    <w:p w14:paraId="50AE0ABA"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本基金按以下方法估值：</w:t>
      </w:r>
      <w:r w:rsidRPr="00ED15FF">
        <w:rPr>
          <w:rFonts w:ascii="宋体" w:hAnsi="宋体"/>
          <w:sz w:val="24"/>
        </w:rPr>
        <w:t xml:space="preserve"> </w:t>
      </w:r>
    </w:p>
    <w:p w14:paraId="3FDE5484" w14:textId="77777777" w:rsidR="004F5B35" w:rsidRPr="00ED15FF" w:rsidRDefault="008C7F89">
      <w:pPr>
        <w:tabs>
          <w:tab w:val="num" w:pos="1260"/>
        </w:tabs>
        <w:spacing w:line="360" w:lineRule="auto"/>
        <w:ind w:firstLine="480"/>
        <w:rPr>
          <w:bCs/>
          <w:sz w:val="24"/>
        </w:rPr>
      </w:pPr>
      <w:bookmarkStart w:id="70" w:name="_Hlk60133373"/>
      <w:r w:rsidRPr="00ED15FF">
        <w:rPr>
          <w:rFonts w:hint="eastAsia"/>
          <w:bCs/>
          <w:sz w:val="24"/>
        </w:rPr>
        <w:t>1</w:t>
      </w:r>
      <w:r w:rsidRPr="00ED15FF">
        <w:rPr>
          <w:rFonts w:hint="eastAsia"/>
          <w:bCs/>
          <w:sz w:val="24"/>
        </w:rPr>
        <w:t>、证券交易所上市的有价证券的估值</w:t>
      </w:r>
    </w:p>
    <w:p w14:paraId="4F5D28B7"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1</w:t>
      </w:r>
      <w:r w:rsidRPr="00ED15FF">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w:t>
      </w:r>
      <w:r w:rsidRPr="00ED15FF">
        <w:rPr>
          <w:rFonts w:hint="eastAsia"/>
          <w:bCs/>
          <w:sz w:val="24"/>
        </w:rPr>
        <w:lastRenderedPageBreak/>
        <w:t>变化因素，调整最近交易市价，确定公允价格；</w:t>
      </w:r>
      <w:r w:rsidRPr="00ED15FF">
        <w:rPr>
          <w:rFonts w:hint="eastAsia"/>
          <w:sz w:val="24"/>
        </w:rPr>
        <w:t xml:space="preserve"> </w:t>
      </w:r>
    </w:p>
    <w:p w14:paraId="43EFC960"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2</w:t>
      </w:r>
      <w:r w:rsidRPr="00ED15FF">
        <w:rPr>
          <w:rFonts w:hint="eastAsia"/>
          <w:bCs/>
          <w:sz w:val="24"/>
        </w:rPr>
        <w:t>）交易所上市交易或挂牌转让的不含权固定收益品种，选取估值日第三方估值机构提供的相应品种当日的估值净价进行估值；</w:t>
      </w:r>
    </w:p>
    <w:p w14:paraId="610D39FF"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3</w:t>
      </w:r>
      <w:r w:rsidRPr="00ED15FF">
        <w:rPr>
          <w:rFonts w:hint="eastAsia"/>
          <w:bCs/>
          <w:sz w:val="24"/>
        </w:rPr>
        <w:t>）交易所上市交易或挂牌转让的含权固定收益品种，选取估值日第三方估值机构提供的相应品种当日的唯一估值净价或推荐估值净价进行估值；</w:t>
      </w:r>
    </w:p>
    <w:p w14:paraId="5376C879"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4</w:t>
      </w:r>
      <w:r w:rsidRPr="00ED15FF">
        <w:rPr>
          <w:rFonts w:hint="eastAsia"/>
          <w:bCs/>
          <w:sz w:val="24"/>
        </w:rPr>
        <w:t>）交易所上市交易的可转换债券以每日收盘价作为估值全价；</w:t>
      </w:r>
    </w:p>
    <w:p w14:paraId="0EF5A5D3"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5</w:t>
      </w:r>
      <w:r w:rsidRPr="00ED15FF">
        <w:rPr>
          <w:rFonts w:hint="eastAsia"/>
          <w:bCs/>
          <w:sz w:val="24"/>
        </w:rPr>
        <w:t>）交易所上市不存在活跃市场的有价证券，采用估值技术确定公允价值。交易所市场挂牌转让的资产支持证券，采用估值技术确定公允价值；</w:t>
      </w:r>
    </w:p>
    <w:p w14:paraId="00E7374B"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6</w:t>
      </w:r>
      <w:r w:rsidRPr="00ED15F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40EF18" w14:textId="77777777" w:rsidR="004F5B35" w:rsidRPr="00ED15FF" w:rsidRDefault="008C7F89">
      <w:pPr>
        <w:tabs>
          <w:tab w:val="num" w:pos="1260"/>
        </w:tabs>
        <w:spacing w:line="360" w:lineRule="auto"/>
        <w:ind w:firstLine="480"/>
        <w:rPr>
          <w:bCs/>
          <w:sz w:val="24"/>
        </w:rPr>
      </w:pPr>
      <w:r w:rsidRPr="00ED15FF">
        <w:rPr>
          <w:rFonts w:hint="eastAsia"/>
          <w:bCs/>
          <w:sz w:val="24"/>
        </w:rPr>
        <w:t>2</w:t>
      </w:r>
      <w:r w:rsidRPr="00ED15FF">
        <w:rPr>
          <w:rFonts w:hint="eastAsia"/>
          <w:bCs/>
          <w:sz w:val="24"/>
        </w:rPr>
        <w:t>、处于未上市期间的有价证券应区分如下情况处理：</w:t>
      </w:r>
    </w:p>
    <w:p w14:paraId="7321440F"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1</w:t>
      </w:r>
      <w:r w:rsidRPr="00ED15FF">
        <w:rPr>
          <w:rFonts w:hint="eastAsia"/>
          <w:bCs/>
          <w:sz w:val="24"/>
        </w:rPr>
        <w:t>）送股、转增股、配股和公开增发的新股，按估值日在证券交易所挂牌的同一股票的估值方法估值；该日无交易的，以最近一日的市价（收盘价）估值；</w:t>
      </w:r>
    </w:p>
    <w:p w14:paraId="5E3CDEAC"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2</w:t>
      </w:r>
      <w:r w:rsidRPr="00ED15FF">
        <w:rPr>
          <w:rFonts w:hint="eastAsia"/>
          <w:bCs/>
          <w:sz w:val="24"/>
        </w:rPr>
        <w:t>）首次公开发行未上市的股票、债券，采用估值技术确定公允价值，在估值技术难以可靠计量公允价值的情况下，按成本估值；</w:t>
      </w:r>
    </w:p>
    <w:p w14:paraId="603743A0" w14:textId="77777777" w:rsidR="004F5B35" w:rsidRPr="00ED15FF" w:rsidRDefault="008C7F89">
      <w:pPr>
        <w:tabs>
          <w:tab w:val="num" w:pos="1260"/>
        </w:tabs>
        <w:spacing w:line="360" w:lineRule="auto"/>
        <w:ind w:firstLine="480"/>
        <w:rPr>
          <w:bCs/>
          <w:sz w:val="24"/>
        </w:rPr>
      </w:pPr>
      <w:r w:rsidRPr="00ED15FF">
        <w:rPr>
          <w:rFonts w:hint="eastAsia"/>
          <w:bCs/>
          <w:sz w:val="24"/>
        </w:rPr>
        <w:t>（</w:t>
      </w:r>
      <w:r w:rsidRPr="00ED15FF">
        <w:rPr>
          <w:rFonts w:hint="eastAsia"/>
          <w:bCs/>
          <w:sz w:val="24"/>
        </w:rPr>
        <w:t>3</w:t>
      </w:r>
      <w:r w:rsidRPr="00ED15FF">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32A347B" w14:textId="77777777" w:rsidR="004F5B35" w:rsidRPr="00ED15FF" w:rsidRDefault="008C7F89">
      <w:pPr>
        <w:tabs>
          <w:tab w:val="num" w:pos="1260"/>
        </w:tabs>
        <w:spacing w:line="360" w:lineRule="auto"/>
        <w:ind w:firstLine="480"/>
        <w:rPr>
          <w:bCs/>
          <w:sz w:val="24"/>
        </w:rPr>
      </w:pPr>
      <w:r w:rsidRPr="00ED15FF">
        <w:rPr>
          <w:rFonts w:hint="eastAsia"/>
          <w:bCs/>
          <w:sz w:val="24"/>
        </w:rPr>
        <w:t>3</w:t>
      </w:r>
      <w:r w:rsidRPr="00ED15FF">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w:t>
      </w:r>
      <w:r w:rsidRPr="00ED15FF">
        <w:rPr>
          <w:rFonts w:hint="eastAsia"/>
          <w:bCs/>
          <w:sz w:val="24"/>
        </w:rPr>
        <w:lastRenderedPageBreak/>
        <w:t>异，未上市期间市场利率没有发生大的变动的情况下，按成本估值。</w:t>
      </w:r>
    </w:p>
    <w:p w14:paraId="452C26FA" w14:textId="77777777" w:rsidR="004F5B35" w:rsidRPr="00ED15FF" w:rsidRDefault="008C7F89">
      <w:pPr>
        <w:tabs>
          <w:tab w:val="num" w:pos="1260"/>
        </w:tabs>
        <w:spacing w:line="360" w:lineRule="auto"/>
        <w:ind w:firstLine="480"/>
        <w:rPr>
          <w:bCs/>
          <w:sz w:val="24"/>
        </w:rPr>
      </w:pPr>
      <w:r w:rsidRPr="00ED15FF">
        <w:rPr>
          <w:rFonts w:hint="eastAsia"/>
          <w:bCs/>
          <w:sz w:val="24"/>
        </w:rPr>
        <w:t>4</w:t>
      </w:r>
      <w:r w:rsidRPr="00ED15FF">
        <w:rPr>
          <w:rFonts w:hint="eastAsia"/>
          <w:bCs/>
          <w:sz w:val="24"/>
        </w:rPr>
        <w:t>、本基金投资期货合约，一般以估值当日结算价进行估值，估值当日无结算价的，且最近交易日后经济环境未发生重大变化的，采用最近交易日结算价估值。</w:t>
      </w:r>
    </w:p>
    <w:p w14:paraId="49E02BEC" w14:textId="77777777" w:rsidR="004F5B35" w:rsidRPr="00ED15FF" w:rsidRDefault="008C7F89">
      <w:pPr>
        <w:tabs>
          <w:tab w:val="num" w:pos="1260"/>
        </w:tabs>
        <w:spacing w:line="360" w:lineRule="auto"/>
        <w:ind w:firstLine="480"/>
        <w:rPr>
          <w:bCs/>
          <w:sz w:val="24"/>
        </w:rPr>
      </w:pPr>
      <w:r w:rsidRPr="00ED15FF">
        <w:rPr>
          <w:rFonts w:hint="eastAsia"/>
          <w:bCs/>
          <w:sz w:val="24"/>
        </w:rPr>
        <w:t>5</w:t>
      </w:r>
      <w:r w:rsidRPr="00ED15FF">
        <w:rPr>
          <w:rFonts w:hint="eastAsia"/>
          <w:bCs/>
          <w:sz w:val="24"/>
        </w:rPr>
        <w:t>、基金投资同业存单，按估值日第三方估值机构提供的估值净价估值；选定的第三方估值机构未提供估值价格的，按成本估值。</w:t>
      </w:r>
    </w:p>
    <w:p w14:paraId="3801D42D" w14:textId="77777777" w:rsidR="004F5B35" w:rsidRPr="00ED15FF" w:rsidRDefault="008C7F89">
      <w:pPr>
        <w:tabs>
          <w:tab w:val="num" w:pos="1260"/>
        </w:tabs>
        <w:spacing w:line="360" w:lineRule="auto"/>
        <w:ind w:firstLine="480"/>
        <w:rPr>
          <w:bCs/>
          <w:sz w:val="24"/>
        </w:rPr>
      </w:pPr>
      <w:r w:rsidRPr="00ED15FF">
        <w:rPr>
          <w:bCs/>
          <w:sz w:val="24"/>
        </w:rPr>
        <w:t>6</w:t>
      </w:r>
      <w:r w:rsidRPr="00ED15FF">
        <w:rPr>
          <w:rFonts w:hint="eastAsia"/>
          <w:bCs/>
          <w:sz w:val="24"/>
        </w:rPr>
        <w:t>、同一证券同时在两个或两个以上市场交易的，按证券所处的市场分别估值。</w:t>
      </w:r>
    </w:p>
    <w:p w14:paraId="39359B37" w14:textId="77777777" w:rsidR="004F5B35" w:rsidRPr="00ED15FF" w:rsidRDefault="008C7F89">
      <w:pPr>
        <w:tabs>
          <w:tab w:val="num" w:pos="1260"/>
        </w:tabs>
        <w:spacing w:line="360" w:lineRule="auto"/>
        <w:ind w:firstLine="480"/>
        <w:rPr>
          <w:bCs/>
          <w:sz w:val="24"/>
        </w:rPr>
      </w:pPr>
      <w:r w:rsidRPr="00ED15FF">
        <w:rPr>
          <w:bCs/>
          <w:sz w:val="24"/>
        </w:rPr>
        <w:t>7</w:t>
      </w:r>
      <w:r w:rsidRPr="00ED15FF">
        <w:rPr>
          <w:rFonts w:hint="eastAsia"/>
          <w:bCs/>
          <w:sz w:val="24"/>
        </w:rPr>
        <w:t>、本基金投资股票期权，根据相关法律法规以及监管部门的规定估值。</w:t>
      </w:r>
    </w:p>
    <w:p w14:paraId="589050CA" w14:textId="77777777" w:rsidR="004F5B35" w:rsidRPr="00ED15FF" w:rsidRDefault="008C7F89">
      <w:pPr>
        <w:tabs>
          <w:tab w:val="num" w:pos="1260"/>
        </w:tabs>
        <w:spacing w:line="360" w:lineRule="auto"/>
        <w:ind w:firstLine="480"/>
        <w:rPr>
          <w:bCs/>
          <w:sz w:val="24"/>
        </w:rPr>
      </w:pPr>
      <w:r w:rsidRPr="00ED15FF">
        <w:rPr>
          <w:rFonts w:hint="eastAsia"/>
          <w:bCs/>
          <w:sz w:val="24"/>
        </w:rPr>
        <w:t>8</w:t>
      </w:r>
      <w:r w:rsidRPr="00ED15FF">
        <w:rPr>
          <w:rFonts w:hint="eastAsia"/>
          <w:bCs/>
          <w:sz w:val="24"/>
        </w:rPr>
        <w:t>、信用衍生品按估值日第三方机构提供的估值净价估值；选定的第三方估值机构未提供估值价格的：对于存在活跃市场的情况下，应以活跃市场上未经调整的报价作为计量日的公允价值；对于活跃市场报价未能代表计量日公允价值的情况下，应当对市场报价进行调整以确认计量日的公允价值；非活跃市场下采用估值技术确定公允价值。</w:t>
      </w:r>
    </w:p>
    <w:p w14:paraId="33783DFC" w14:textId="77777777" w:rsidR="004F5B35" w:rsidRPr="00ED15FF" w:rsidRDefault="008C7F89">
      <w:pPr>
        <w:tabs>
          <w:tab w:val="num" w:pos="1260"/>
        </w:tabs>
        <w:spacing w:line="360" w:lineRule="auto"/>
        <w:ind w:firstLine="480"/>
        <w:rPr>
          <w:bCs/>
          <w:sz w:val="24"/>
        </w:rPr>
      </w:pPr>
      <w:r w:rsidRPr="00ED15FF">
        <w:rPr>
          <w:rFonts w:hint="eastAsia"/>
          <w:bCs/>
          <w:sz w:val="24"/>
        </w:rPr>
        <w:t>9</w:t>
      </w:r>
      <w:r w:rsidRPr="00ED15FF">
        <w:rPr>
          <w:rFonts w:hint="eastAsia"/>
          <w:bCs/>
          <w:sz w:val="24"/>
        </w:rPr>
        <w:t>、本基金投资存托凭证的估值核算，依照境内上市交易的股票执行。</w:t>
      </w:r>
    </w:p>
    <w:p w14:paraId="26EEB5E7" w14:textId="77777777" w:rsidR="004F5B35" w:rsidRPr="00ED15FF" w:rsidRDefault="008C7F89">
      <w:pPr>
        <w:tabs>
          <w:tab w:val="num" w:pos="1260"/>
        </w:tabs>
        <w:spacing w:line="360" w:lineRule="auto"/>
        <w:ind w:firstLine="480"/>
        <w:rPr>
          <w:bCs/>
          <w:sz w:val="24"/>
        </w:rPr>
      </w:pPr>
      <w:r w:rsidRPr="00ED15FF">
        <w:rPr>
          <w:rFonts w:hint="eastAsia"/>
          <w:bCs/>
          <w:sz w:val="24"/>
        </w:rPr>
        <w:t>10</w:t>
      </w:r>
      <w:r w:rsidRPr="00ED15FF">
        <w:rPr>
          <w:rFonts w:hint="eastAsia"/>
          <w:bCs/>
          <w:sz w:val="24"/>
        </w:rPr>
        <w:t>、税收</w:t>
      </w:r>
    </w:p>
    <w:p w14:paraId="2EC53217" w14:textId="77777777" w:rsidR="004F5B35" w:rsidRPr="00ED15FF" w:rsidRDefault="008C7F89">
      <w:pPr>
        <w:tabs>
          <w:tab w:val="num" w:pos="1260"/>
        </w:tabs>
        <w:spacing w:line="360" w:lineRule="auto"/>
        <w:ind w:firstLine="480"/>
        <w:rPr>
          <w:bCs/>
          <w:sz w:val="24"/>
        </w:rPr>
      </w:pPr>
      <w:r w:rsidRPr="00ED15FF">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E1F67A8" w14:textId="530A0744" w:rsidR="004F5B35" w:rsidRPr="00ED15FF" w:rsidRDefault="008C7F89">
      <w:pPr>
        <w:tabs>
          <w:tab w:val="num" w:pos="1260"/>
        </w:tabs>
        <w:spacing w:line="360" w:lineRule="auto"/>
        <w:ind w:firstLine="480"/>
        <w:rPr>
          <w:bCs/>
          <w:sz w:val="24"/>
        </w:rPr>
      </w:pPr>
      <w:r w:rsidRPr="00ED15FF">
        <w:rPr>
          <w:rFonts w:hint="eastAsia"/>
          <w:bCs/>
          <w:sz w:val="24"/>
        </w:rPr>
        <w:t>11</w:t>
      </w:r>
      <w:r w:rsidRPr="00ED15FF">
        <w:rPr>
          <w:rFonts w:hint="eastAsia"/>
          <w:bCs/>
          <w:sz w:val="24"/>
        </w:rPr>
        <w:t>、估值计算中涉及港币对人民币汇率的，将依据下列信息提供机构所提供的汇率为基准：当日中国人民银行或其授权机构公布的人民币与港币的中间价。</w:t>
      </w:r>
    </w:p>
    <w:p w14:paraId="75D886EC" w14:textId="77777777" w:rsidR="004F5B35" w:rsidRPr="00ED15FF" w:rsidRDefault="008C7F89">
      <w:pPr>
        <w:tabs>
          <w:tab w:val="num" w:pos="1260"/>
        </w:tabs>
        <w:spacing w:line="360" w:lineRule="auto"/>
        <w:ind w:firstLine="480"/>
        <w:rPr>
          <w:bCs/>
          <w:sz w:val="24"/>
        </w:rPr>
      </w:pPr>
      <w:r w:rsidRPr="00ED15FF">
        <w:rPr>
          <w:rFonts w:hint="eastAsia"/>
          <w:bCs/>
          <w:sz w:val="24"/>
        </w:rPr>
        <w:t>12</w:t>
      </w:r>
      <w:r w:rsidRPr="00ED15FF">
        <w:rPr>
          <w:rFonts w:hint="eastAsia"/>
          <w:bCs/>
          <w:sz w:val="24"/>
        </w:rPr>
        <w:t>、如有确凿证据表明按上述方法进行估值不能客观反映其公允价值的，基金管理人可根据具体情况与基金托管人商定后，按最能反映公允价值的价格估值。</w:t>
      </w:r>
    </w:p>
    <w:p w14:paraId="0EBD0559" w14:textId="77777777" w:rsidR="004F5B35" w:rsidRPr="00ED15FF" w:rsidRDefault="008C7F89">
      <w:pPr>
        <w:tabs>
          <w:tab w:val="num" w:pos="1260"/>
        </w:tabs>
        <w:spacing w:line="360" w:lineRule="auto"/>
        <w:ind w:firstLine="480"/>
        <w:rPr>
          <w:bCs/>
          <w:sz w:val="24"/>
        </w:rPr>
      </w:pPr>
      <w:r w:rsidRPr="00ED15FF">
        <w:rPr>
          <w:rFonts w:hint="eastAsia"/>
          <w:bCs/>
          <w:sz w:val="24"/>
        </w:rPr>
        <w:t>13</w:t>
      </w:r>
      <w:r w:rsidRPr="00ED15FF">
        <w:rPr>
          <w:rFonts w:hint="eastAsia"/>
          <w:bCs/>
          <w:sz w:val="24"/>
        </w:rPr>
        <w:t>、当发生大额申购或赎回情形时，基金管理人可以采用摆动定价机制，以确保基金估值的公平性。</w:t>
      </w:r>
    </w:p>
    <w:p w14:paraId="0482D352" w14:textId="77777777" w:rsidR="004F5B35" w:rsidRPr="00ED15FF" w:rsidRDefault="008C7F89">
      <w:pPr>
        <w:tabs>
          <w:tab w:val="num" w:pos="1260"/>
        </w:tabs>
        <w:spacing w:line="360" w:lineRule="auto"/>
        <w:ind w:firstLine="480"/>
        <w:rPr>
          <w:bCs/>
          <w:sz w:val="24"/>
        </w:rPr>
      </w:pPr>
      <w:r w:rsidRPr="00ED15FF">
        <w:rPr>
          <w:rFonts w:hint="eastAsia"/>
          <w:bCs/>
          <w:sz w:val="24"/>
        </w:rPr>
        <w:t>14</w:t>
      </w:r>
      <w:r w:rsidRPr="00ED15FF">
        <w:rPr>
          <w:rFonts w:hint="eastAsia"/>
          <w:bCs/>
          <w:sz w:val="24"/>
        </w:rPr>
        <w:t>、相关法律法规以及监管部门有强制规定的，从其规定。如有新增事项，</w:t>
      </w:r>
      <w:r w:rsidRPr="00ED15FF">
        <w:rPr>
          <w:rFonts w:hint="eastAsia"/>
          <w:bCs/>
          <w:sz w:val="24"/>
        </w:rPr>
        <w:lastRenderedPageBreak/>
        <w:t>按国家最新规定估值。</w:t>
      </w:r>
    </w:p>
    <w:p w14:paraId="29F195CE" w14:textId="77777777" w:rsidR="004F5B35" w:rsidRPr="00ED15FF" w:rsidRDefault="008C7F89">
      <w:pPr>
        <w:tabs>
          <w:tab w:val="num" w:pos="1260"/>
        </w:tabs>
        <w:spacing w:line="360" w:lineRule="auto"/>
        <w:ind w:firstLine="480"/>
        <w:rPr>
          <w:bCs/>
          <w:sz w:val="24"/>
        </w:rPr>
      </w:pPr>
      <w:r w:rsidRPr="00ED15FF">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40CCF56" w14:textId="42C5982A" w:rsidR="004F5B35" w:rsidRPr="00ED15FF" w:rsidRDefault="008C7F89">
      <w:pPr>
        <w:tabs>
          <w:tab w:val="num" w:pos="1260"/>
        </w:tabs>
        <w:spacing w:line="360" w:lineRule="auto"/>
        <w:ind w:firstLine="480"/>
        <w:rPr>
          <w:rFonts w:ascii="宋体"/>
          <w:sz w:val="24"/>
        </w:rPr>
      </w:pPr>
      <w:r w:rsidRPr="00ED15FF">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w:t>
      </w:r>
      <w:r w:rsidRPr="00ED15FF">
        <w:rPr>
          <w:bCs/>
          <w:sz w:val="24"/>
        </w:rPr>
        <w:t>的计算结果对外予以公布，由此给基金份额持有人和基金造成的损失以及因该交易日基金资产净值计算顺延错误而引起的损失，</w:t>
      </w:r>
      <w:r w:rsidRPr="00ED15FF">
        <w:rPr>
          <w:rFonts w:hint="eastAsia"/>
          <w:bCs/>
          <w:sz w:val="24"/>
        </w:rPr>
        <w:t>基金托管人不</w:t>
      </w:r>
      <w:r w:rsidRPr="00ED15FF">
        <w:rPr>
          <w:bCs/>
          <w:sz w:val="24"/>
        </w:rPr>
        <w:t>负责赔付。</w:t>
      </w:r>
      <w:bookmarkEnd w:id="70"/>
    </w:p>
    <w:p w14:paraId="6A7AE55D"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（二）净值差错处理</w:t>
      </w:r>
    </w:p>
    <w:p w14:paraId="07BE19CC" w14:textId="77777777" w:rsidR="004F5B35" w:rsidRPr="00ED15FF" w:rsidRDefault="008C7F89">
      <w:pPr>
        <w:spacing w:line="360" w:lineRule="auto"/>
        <w:ind w:firstLine="480"/>
        <w:rPr>
          <w:bCs/>
          <w:sz w:val="24"/>
        </w:rPr>
      </w:pPr>
      <w:r w:rsidRPr="00ED15FF">
        <w:rPr>
          <w:rFonts w:ascii="宋体" w:hAnsi="宋体" w:hint="eastAsia"/>
          <w:sz w:val="24"/>
        </w:rPr>
        <w:t>1、当任一类基金份额净值小数点后4位以内(含第4位)发生估值错误时，视为该类基金份额净值错误。</w:t>
      </w:r>
      <w:r w:rsidRPr="00ED15FF">
        <w:rPr>
          <w:bCs/>
          <w:sz w:val="24"/>
        </w:rPr>
        <w:t>基金份额净值估值错误处理的方法如下：</w:t>
      </w:r>
    </w:p>
    <w:p w14:paraId="22F06800" w14:textId="77777777" w:rsidR="004F5B35" w:rsidRPr="00ED15FF" w:rsidRDefault="008C7F89">
      <w:pPr>
        <w:spacing w:line="360" w:lineRule="auto"/>
        <w:ind w:firstLine="480"/>
        <w:rPr>
          <w:bCs/>
          <w:sz w:val="24"/>
        </w:rPr>
      </w:pPr>
      <w:r w:rsidRPr="00ED15FF">
        <w:rPr>
          <w:rFonts w:hint="eastAsia"/>
          <w:bCs/>
          <w:sz w:val="24"/>
        </w:rPr>
        <w:t>（</w:t>
      </w:r>
      <w:r w:rsidRPr="00ED15FF">
        <w:rPr>
          <w:rFonts w:hint="eastAsia"/>
          <w:bCs/>
          <w:sz w:val="24"/>
        </w:rPr>
        <w:t>1</w:t>
      </w:r>
      <w:r w:rsidRPr="00ED15FF">
        <w:rPr>
          <w:rFonts w:hint="eastAsia"/>
          <w:bCs/>
          <w:sz w:val="24"/>
        </w:rPr>
        <w:t>）基金份额净值计算出现错误时，基金管理人应当立即予以纠正，通报基金托管人，并采取合理的措施防止损失进一步扩大。</w:t>
      </w:r>
    </w:p>
    <w:p w14:paraId="7BD28703" w14:textId="77777777" w:rsidR="004F5B35" w:rsidRPr="00ED15FF" w:rsidRDefault="008C7F89">
      <w:pPr>
        <w:spacing w:line="360" w:lineRule="auto"/>
        <w:ind w:firstLine="480"/>
        <w:rPr>
          <w:bCs/>
          <w:sz w:val="24"/>
        </w:rPr>
      </w:pPr>
      <w:r w:rsidRPr="00ED15FF">
        <w:rPr>
          <w:rFonts w:hint="eastAsia"/>
          <w:bCs/>
          <w:sz w:val="24"/>
        </w:rPr>
        <w:t>（</w:t>
      </w:r>
      <w:r w:rsidRPr="00ED15FF">
        <w:rPr>
          <w:rFonts w:hint="eastAsia"/>
          <w:bCs/>
          <w:sz w:val="24"/>
        </w:rPr>
        <w:t>2</w:t>
      </w:r>
      <w:r w:rsidRPr="00ED15FF">
        <w:rPr>
          <w:rFonts w:hint="eastAsia"/>
          <w:bCs/>
          <w:sz w:val="24"/>
        </w:rPr>
        <w:t>）各类基金份额的基金份额净值计算错误偏差达到该类基金份额净值的</w:t>
      </w:r>
      <w:r w:rsidRPr="00ED15FF">
        <w:rPr>
          <w:rFonts w:hint="eastAsia"/>
          <w:bCs/>
          <w:sz w:val="24"/>
        </w:rPr>
        <w:t>0.25%</w:t>
      </w:r>
      <w:r w:rsidRPr="00ED15FF">
        <w:rPr>
          <w:rFonts w:hint="eastAsia"/>
          <w:bCs/>
          <w:sz w:val="24"/>
        </w:rPr>
        <w:t>时，基金管理人应当通报基金托管人并报中国证监会备案；错误偏差达到该类基金份额净值的</w:t>
      </w:r>
      <w:r w:rsidRPr="00ED15FF">
        <w:rPr>
          <w:rFonts w:hint="eastAsia"/>
          <w:bCs/>
          <w:sz w:val="24"/>
        </w:rPr>
        <w:t>0.5%</w:t>
      </w:r>
      <w:r w:rsidRPr="00ED15FF">
        <w:rPr>
          <w:rFonts w:hint="eastAsia"/>
          <w:bCs/>
          <w:sz w:val="24"/>
        </w:rPr>
        <w:t>时，基金管理人应当公告，并报中国证监会备案；当发生净值计算错误时，由基金管理人负责处理，由此给基金份额持有人和基金造成损失的，基金管理人有权向其他当事人追偿。</w:t>
      </w:r>
    </w:p>
    <w:p w14:paraId="56927513" w14:textId="77777777" w:rsidR="004F5B35" w:rsidRPr="00ED15FF" w:rsidRDefault="008C7F89">
      <w:pPr>
        <w:spacing w:line="360" w:lineRule="auto"/>
        <w:ind w:firstLine="480"/>
        <w:rPr>
          <w:bCs/>
          <w:sz w:val="24"/>
        </w:rPr>
      </w:pPr>
      <w:r w:rsidRPr="00ED15FF">
        <w:rPr>
          <w:rFonts w:hint="eastAsia"/>
          <w:bCs/>
          <w:sz w:val="24"/>
        </w:rPr>
        <w:t>（</w:t>
      </w:r>
      <w:r w:rsidRPr="00ED15FF">
        <w:rPr>
          <w:rFonts w:hint="eastAsia"/>
          <w:bCs/>
          <w:sz w:val="24"/>
        </w:rPr>
        <w:t>3</w:t>
      </w:r>
      <w:r w:rsidRPr="00ED15FF">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4BA244D3" w14:textId="77777777" w:rsidR="004F5B35" w:rsidRPr="00ED15FF" w:rsidRDefault="008C7F89">
      <w:pPr>
        <w:spacing w:line="360" w:lineRule="auto"/>
        <w:ind w:firstLine="480"/>
        <w:rPr>
          <w:bCs/>
          <w:sz w:val="24"/>
        </w:rPr>
      </w:pPr>
      <w:r w:rsidRPr="00ED15FF">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B373436" w14:textId="77777777" w:rsidR="004F5B35" w:rsidRPr="00ED15FF" w:rsidRDefault="008C7F89">
      <w:pPr>
        <w:spacing w:line="360" w:lineRule="auto"/>
        <w:ind w:firstLine="480"/>
        <w:rPr>
          <w:bCs/>
          <w:sz w:val="24"/>
        </w:rPr>
      </w:pPr>
      <w:r w:rsidRPr="00ED15FF">
        <w:rPr>
          <w:rFonts w:hint="eastAsia"/>
          <w:bCs/>
          <w:sz w:val="24"/>
        </w:rPr>
        <w:t>②若基金管理人计算的各类</w:t>
      </w:r>
      <w:r w:rsidRPr="00ED15FF">
        <w:rPr>
          <w:bCs/>
          <w:sz w:val="24"/>
        </w:rPr>
        <w:t>基金份额的</w:t>
      </w:r>
      <w:r w:rsidRPr="00ED15FF">
        <w:rPr>
          <w:rFonts w:hint="eastAsia"/>
          <w:bCs/>
          <w:sz w:val="24"/>
        </w:rPr>
        <w:t>基金份额净值已由基金托管人复核确认后披露，而且基金托管人未对计算过程提出疑义或要求基金管理人书面说明，基金份额净值出错且给基金份额持有人造成损失的，应根据法律法规的规</w:t>
      </w:r>
      <w:r w:rsidRPr="00ED15FF">
        <w:rPr>
          <w:rFonts w:hint="eastAsia"/>
          <w:bCs/>
          <w:sz w:val="24"/>
        </w:rPr>
        <w:lastRenderedPageBreak/>
        <w:t>定对投资者或基金支付赔偿金，就实际向投资者或基金支付的赔偿金额，基金管理人与基金托管人按照</w:t>
      </w:r>
      <w:r w:rsidR="004F5B35" w:rsidRPr="00ED15FF">
        <w:rPr>
          <w:rFonts w:hint="eastAsia"/>
          <w:bCs/>
          <w:sz w:val="24"/>
        </w:rPr>
        <w:t>管理费率和托管费率的比例</w:t>
      </w:r>
      <w:r w:rsidRPr="00ED15FF">
        <w:rPr>
          <w:rFonts w:hint="eastAsia"/>
          <w:bCs/>
          <w:sz w:val="24"/>
        </w:rPr>
        <w:t>承</w:t>
      </w:r>
      <w:r w:rsidRPr="00ED15FF">
        <w:rPr>
          <w:rFonts w:ascii="宋体" w:hAnsi="宋体" w:hint="eastAsia"/>
          <w:sz w:val="24"/>
        </w:rPr>
        <w:t>担相应的赔偿责任</w:t>
      </w:r>
      <w:r w:rsidRPr="00ED15FF">
        <w:rPr>
          <w:rFonts w:hint="eastAsia"/>
          <w:bCs/>
          <w:sz w:val="24"/>
        </w:rPr>
        <w:t>。</w:t>
      </w:r>
    </w:p>
    <w:p w14:paraId="7FDAC21F" w14:textId="77777777" w:rsidR="004F5B35" w:rsidRPr="00ED15FF" w:rsidRDefault="008C7F89">
      <w:pPr>
        <w:spacing w:line="360" w:lineRule="auto"/>
        <w:ind w:firstLine="480"/>
        <w:rPr>
          <w:bCs/>
          <w:sz w:val="24"/>
        </w:rPr>
      </w:pPr>
      <w:r w:rsidRPr="00ED15FF">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6561C8C" w14:textId="77777777" w:rsidR="004F5B35" w:rsidRPr="00ED15FF" w:rsidRDefault="008C7F89">
      <w:pPr>
        <w:spacing w:line="360" w:lineRule="auto"/>
        <w:ind w:firstLine="480"/>
        <w:rPr>
          <w:bCs/>
          <w:sz w:val="24"/>
        </w:rPr>
      </w:pPr>
      <w:r w:rsidRPr="00ED15FF">
        <w:rPr>
          <w:rFonts w:hint="eastAsia"/>
          <w:bCs/>
          <w:sz w:val="24"/>
        </w:rPr>
        <w:t>④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14:paraId="3091CEF3" w14:textId="77777777" w:rsidR="004F5B35" w:rsidRPr="00ED15FF" w:rsidRDefault="008C7F89">
      <w:pPr>
        <w:spacing w:line="360" w:lineRule="auto"/>
        <w:ind w:firstLine="480"/>
        <w:rPr>
          <w:bCs/>
          <w:sz w:val="24"/>
        </w:rPr>
      </w:pPr>
      <w:r w:rsidRPr="00ED15FF">
        <w:rPr>
          <w:rFonts w:hint="eastAsia"/>
          <w:bCs/>
          <w:sz w:val="24"/>
        </w:rPr>
        <w:t>（</w:t>
      </w:r>
      <w:r w:rsidRPr="00ED15FF">
        <w:rPr>
          <w:rFonts w:hint="eastAsia"/>
          <w:bCs/>
          <w:sz w:val="24"/>
        </w:rPr>
        <w:t>4</w:t>
      </w:r>
      <w:r w:rsidRPr="00ED15FF">
        <w:rPr>
          <w:rFonts w:hint="eastAsia"/>
          <w:bCs/>
          <w:sz w:val="24"/>
        </w:rPr>
        <w:t>）基金管理人和基金托管人由于各自技术系统设置而产生的净值计算尾差，以基金管理人计算结果为准。</w:t>
      </w:r>
    </w:p>
    <w:p w14:paraId="64BCFA92" w14:textId="77777777" w:rsidR="004F5B35" w:rsidRPr="00ED15FF" w:rsidRDefault="008C7F89">
      <w:pPr>
        <w:tabs>
          <w:tab w:val="num" w:pos="1260"/>
        </w:tabs>
        <w:spacing w:line="360" w:lineRule="auto"/>
        <w:ind w:firstLine="480"/>
        <w:rPr>
          <w:rFonts w:ascii="宋体"/>
          <w:sz w:val="24"/>
        </w:rPr>
      </w:pPr>
      <w:r w:rsidRPr="00ED15FF">
        <w:rPr>
          <w:rFonts w:hint="eastAsia"/>
          <w:bCs/>
          <w:sz w:val="24"/>
        </w:rPr>
        <w:t>（</w:t>
      </w:r>
      <w:r w:rsidRPr="00ED15FF">
        <w:rPr>
          <w:rFonts w:hint="eastAsia"/>
          <w:bCs/>
          <w:sz w:val="24"/>
        </w:rPr>
        <w:t>5</w:t>
      </w:r>
      <w:r w:rsidRPr="00ED15FF">
        <w:rPr>
          <w:rFonts w:hint="eastAsia"/>
          <w:bCs/>
          <w:sz w:val="24"/>
        </w:rPr>
        <w:t>）</w:t>
      </w:r>
      <w:r w:rsidRPr="00ED15FF">
        <w:rPr>
          <w:bCs/>
          <w:sz w:val="24"/>
        </w:rPr>
        <w:t>前述内容如法律法规或监管机关另有规定的，从其规定处理。</w:t>
      </w:r>
      <w:r w:rsidRPr="00ED15FF">
        <w:rPr>
          <w:rFonts w:hint="eastAsia"/>
          <w:bCs/>
          <w:sz w:val="24"/>
        </w:rPr>
        <w:t>如果行业另有通行做法，基金管理人</w:t>
      </w:r>
      <w:r w:rsidRPr="00ED15FF">
        <w:rPr>
          <w:bCs/>
          <w:sz w:val="24"/>
        </w:rPr>
        <w:t>和基金托管人</w:t>
      </w:r>
      <w:r w:rsidRPr="00ED15FF">
        <w:rPr>
          <w:rFonts w:hint="eastAsia"/>
          <w:bCs/>
          <w:sz w:val="24"/>
        </w:rPr>
        <w:t>应本着平等和保护基金份额持有人利益的原则进行协商。</w:t>
      </w:r>
    </w:p>
    <w:p w14:paraId="40E59904" w14:textId="77777777" w:rsidR="004F5B35" w:rsidRPr="00ED15FF" w:rsidRDefault="008C7F89">
      <w:pPr>
        <w:tabs>
          <w:tab w:val="left" w:pos="3780"/>
        </w:tabs>
        <w:spacing w:line="360" w:lineRule="auto"/>
        <w:outlineLvl w:val="0"/>
        <w:rPr>
          <w:rFonts w:ascii="宋体" w:cs="宋体"/>
          <w:b/>
          <w:sz w:val="24"/>
        </w:rPr>
      </w:pPr>
      <w:r w:rsidRPr="00ED15FF">
        <w:rPr>
          <w:rFonts w:ascii="宋体" w:cs="宋体" w:hint="eastAsia"/>
          <w:b/>
          <w:sz w:val="24"/>
        </w:rPr>
        <w:t>（三）基金</w:t>
      </w:r>
      <w:r w:rsidRPr="00ED15FF">
        <w:rPr>
          <w:rFonts w:ascii="宋体" w:hAnsi="宋体" w:hint="eastAsia"/>
          <w:b/>
          <w:bCs/>
          <w:sz w:val="24"/>
        </w:rPr>
        <w:t>会计制度</w:t>
      </w:r>
    </w:p>
    <w:p w14:paraId="432C1076" w14:textId="77777777" w:rsidR="004F5B35" w:rsidRPr="00ED15FF" w:rsidRDefault="008C7F89">
      <w:pPr>
        <w:spacing w:line="360" w:lineRule="auto"/>
        <w:ind w:firstLine="420"/>
        <w:jc w:val="left"/>
        <w:rPr>
          <w:rFonts w:ascii="宋体" w:cs="宋体"/>
          <w:sz w:val="20"/>
          <w:szCs w:val="20"/>
        </w:rPr>
      </w:pPr>
      <w:r w:rsidRPr="00ED15FF">
        <w:rPr>
          <w:rFonts w:ascii="宋体" w:cs="宋体" w:hint="eastAsia"/>
          <w:sz w:val="24"/>
        </w:rPr>
        <w:t>按国家有关部门制定的会计制度执行。</w:t>
      </w:r>
    </w:p>
    <w:p w14:paraId="0C8048D3"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（四）基金账册的建立</w:t>
      </w:r>
    </w:p>
    <w:p w14:paraId="307684D8"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4DD3232A"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（五）会计数据和财务指标的核对</w:t>
      </w:r>
    </w:p>
    <w:p w14:paraId="37F8F426"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双方应每个交易日核对账目，如发现双方的账目存在不符的，基金管理人和基金托管人必须及时查明原因并纠正，确保核对一致。若当日核对不符，暂时无法查找到错账的原因而影响到基金净值信息的计算和披露的，以基金管理人的账册为准。</w:t>
      </w:r>
    </w:p>
    <w:p w14:paraId="64BB333D"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（六）基金定期报告的编制和复核</w:t>
      </w:r>
    </w:p>
    <w:p w14:paraId="7CA9986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基金财务报表由基金管理人和基金托管人每月分别独立编制。月度报表的</w:t>
      </w:r>
      <w:r w:rsidRPr="00ED15FF">
        <w:rPr>
          <w:rFonts w:ascii="宋体" w:hAnsi="宋体" w:hint="eastAsia"/>
          <w:sz w:val="24"/>
        </w:rPr>
        <w:lastRenderedPageBreak/>
        <w:t>编制，应于每月终了后</w:t>
      </w:r>
      <w:r w:rsidRPr="00ED15FF">
        <w:rPr>
          <w:rFonts w:ascii="宋体" w:hAnsi="宋体"/>
          <w:sz w:val="24"/>
        </w:rPr>
        <w:t>5</w:t>
      </w:r>
      <w:r w:rsidRPr="00ED15FF">
        <w:rPr>
          <w:rFonts w:ascii="宋体" w:hAnsi="宋体" w:hint="eastAsia"/>
          <w:sz w:val="24"/>
        </w:rPr>
        <w:t>个工作日内完成。定期报告文件应按中国证监会的要求公告。季度报告的编制，应于每季度终了后</w:t>
      </w:r>
      <w:r w:rsidRPr="00ED15FF">
        <w:rPr>
          <w:rFonts w:ascii="宋体" w:hAnsi="宋体"/>
          <w:sz w:val="24"/>
        </w:rPr>
        <w:t>15</w:t>
      </w:r>
      <w:r w:rsidRPr="00ED15FF">
        <w:rPr>
          <w:rFonts w:ascii="宋体" w:hAnsi="宋体" w:hint="eastAsia"/>
          <w:sz w:val="24"/>
        </w:rPr>
        <w:t>个工作日内完成，并将季度报告登载在规定网站上，将季度报告提示性公告登载在规定报刊上；《基金合同》生效后，基金招募说明书、基金产品资料概要的信息发生重大变更的，基金管理人应当在三个工作日内，更新基金招募说明书、基金产品资料概要并登载在规定网站上；基金招募说明书、基金产品资料概要其他信息发生变更的，基金管理人至少每年更新一次。基金终止运作的，基金管理人不再更新基金招募说明书、基金产品资料概要；中期报告在</w:t>
      </w:r>
      <w:r w:rsidRPr="00ED15FF">
        <w:rPr>
          <w:bCs/>
          <w:sz w:val="24"/>
        </w:rPr>
        <w:t>上半年结束之日</w:t>
      </w:r>
      <w:r w:rsidRPr="00ED15FF">
        <w:rPr>
          <w:rFonts w:hint="eastAsia"/>
          <w:bCs/>
          <w:sz w:val="24"/>
        </w:rPr>
        <w:t>起</w:t>
      </w:r>
      <w:r w:rsidRPr="00ED15FF">
        <w:rPr>
          <w:rFonts w:ascii="宋体" w:hAnsi="宋体" w:hint="eastAsia"/>
          <w:sz w:val="24"/>
        </w:rPr>
        <w:t>两个月内完成，将中期报告登载在规定网站上，并将中期报告提示性公告登载在规定报刊上；年度报告在会计年度结束后三个月内完成，并将年度报告登载在规定网站上，并将年度报告提示性公告登载在规定报刊上。《基金合同》生效不足2个月的，基金管理人可以不编制当期季度报告、中期报告或者年度报告。</w:t>
      </w:r>
    </w:p>
    <w:p w14:paraId="1148A12E"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基金管理人在月初3个工作日内完成上月度报表的编制，盖章后，以传真或其他双方约定的方式将有关报表提供基金托管人；基金托管人在</w:t>
      </w:r>
      <w:r w:rsidRPr="00ED15FF">
        <w:rPr>
          <w:rFonts w:ascii="宋体" w:hAnsi="宋体"/>
          <w:sz w:val="24"/>
        </w:rPr>
        <w:t>2</w:t>
      </w:r>
      <w:r w:rsidRPr="00ED15FF">
        <w:rPr>
          <w:rFonts w:ascii="宋体" w:hAnsi="宋体" w:hint="eastAsia"/>
          <w:sz w:val="24"/>
        </w:rPr>
        <w:t>个工作日内进行复核，并将复核结果及时书面或以其他双方约定的方式通知基金管理人。对于季度报告、中期报告、年度报告等定期报告、更新招募说明书、基金产品资料概要等，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中国证监会备案。</w:t>
      </w:r>
    </w:p>
    <w:p w14:paraId="2A5C1BA2"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基金托管人在对财务报表、季度报告、中期报告或年度报告复核完毕后，可以出具复核确认书（盖章）或以其他双方约定的方式确认，以备有权</w:t>
      </w:r>
      <w:r w:rsidRPr="00ED15FF">
        <w:rPr>
          <w:rFonts w:ascii="宋体" w:hAnsi="宋体"/>
          <w:sz w:val="24"/>
        </w:rPr>
        <w:t>机构对相关文件审核检查。</w:t>
      </w:r>
      <w:bookmarkStart w:id="71" w:name="_Toc466788859"/>
      <w:bookmarkStart w:id="72" w:name="_Toc523830000"/>
      <w:bookmarkStart w:id="73" w:name="_Toc22454461"/>
      <w:bookmarkStart w:id="74" w:name="_Toc125892445"/>
    </w:p>
    <w:p w14:paraId="2A9CD8FD"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（七）实施侧袋机制期间的基金资产估值</w:t>
      </w:r>
      <w:r w:rsidRPr="00ED15FF">
        <w:rPr>
          <w:rFonts w:ascii="宋体" w:hAnsi="宋体"/>
          <w:sz w:val="24"/>
        </w:rPr>
        <w:t xml:space="preserve"> </w:t>
      </w:r>
    </w:p>
    <w:p w14:paraId="5E3D3228" w14:textId="77777777" w:rsidR="004F5B35" w:rsidRPr="00ED15FF" w:rsidRDefault="008C7F89">
      <w:pPr>
        <w:tabs>
          <w:tab w:val="num" w:pos="1260"/>
        </w:tabs>
        <w:spacing w:line="360" w:lineRule="auto"/>
        <w:ind w:firstLine="480"/>
        <w:rPr>
          <w:rFonts w:ascii="宋体" w:hAnsi="宋体"/>
          <w:sz w:val="24"/>
        </w:rPr>
      </w:pPr>
      <w:r w:rsidRPr="00ED15FF">
        <w:rPr>
          <w:rFonts w:ascii="宋体" w:hAnsi="宋体" w:hint="eastAsia"/>
          <w:sz w:val="24"/>
        </w:rPr>
        <w:t>本基金实施侧袋机制的，应根据本部分的约定对主袋账户资产进行估值并披露主袋账户的基金净值信息，暂停披露侧袋账户份额净值。</w:t>
      </w:r>
    </w:p>
    <w:p w14:paraId="6CBA16F9" w14:textId="77777777" w:rsidR="004F5B35" w:rsidRPr="00ED15FF" w:rsidRDefault="004F5B35">
      <w:pPr>
        <w:tabs>
          <w:tab w:val="num" w:pos="1260"/>
        </w:tabs>
        <w:spacing w:line="360" w:lineRule="auto"/>
        <w:ind w:firstLine="480"/>
        <w:rPr>
          <w:rFonts w:ascii="宋体"/>
          <w:sz w:val="24"/>
        </w:rPr>
      </w:pPr>
    </w:p>
    <w:p w14:paraId="3A10449F" w14:textId="77777777" w:rsidR="004F5B35" w:rsidRPr="00ED15FF" w:rsidRDefault="008C7F89">
      <w:pPr>
        <w:pStyle w:val="117"/>
      </w:pPr>
      <w:bookmarkStart w:id="75" w:name="_Toc516233749"/>
      <w:r w:rsidRPr="00ED15FF">
        <w:lastRenderedPageBreak/>
        <w:t>九、基金收益分配</w:t>
      </w:r>
      <w:bookmarkEnd w:id="71"/>
      <w:bookmarkEnd w:id="72"/>
      <w:bookmarkEnd w:id="73"/>
      <w:bookmarkEnd w:id="74"/>
      <w:bookmarkEnd w:id="75"/>
    </w:p>
    <w:p w14:paraId="1D254C79"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基金收益分配是指将本基金的可分配收益根据持有基金份额的数量按比例向基金份额持有人进行分配。</w:t>
      </w:r>
    </w:p>
    <w:p w14:paraId="3AF38716"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（一）基金收益分配应该符合基金合同中收益分配原则的规定，具体规定如下：</w:t>
      </w:r>
    </w:p>
    <w:p w14:paraId="2B923B9F" w14:textId="1C3C4B52" w:rsidR="004F5B35" w:rsidRPr="00ED15FF" w:rsidRDefault="008C7F89">
      <w:pPr>
        <w:spacing w:line="360" w:lineRule="auto"/>
        <w:ind w:firstLine="480"/>
        <w:rPr>
          <w:rFonts w:ascii="宋体" w:hAnsi="宋体"/>
          <w:sz w:val="24"/>
        </w:rPr>
      </w:pPr>
      <w:r w:rsidRPr="00ED15FF">
        <w:rPr>
          <w:rFonts w:ascii="宋体" w:hAnsi="宋体" w:hint="eastAsia"/>
          <w:sz w:val="24"/>
        </w:rPr>
        <w:t>1、本基金收益分配方式分两种：现金分红与红利再投资，投资者可选择现金红利或将现金红利自动转为相应类别的基金份额进行再投资；若投资者不选择，本基金默认的收益分配方式是现金分红；基金份额持有人可对各类基金份额分别选择不同的分红方式。选择采取红利再投资形式的，红利再投资的份额免收申购费；</w:t>
      </w:r>
      <w:r w:rsidRPr="00ED15FF">
        <w:rPr>
          <w:rFonts w:hint="eastAsia"/>
          <w:bCs/>
          <w:sz w:val="24"/>
        </w:rPr>
        <w:t>同一投资人持有的同一类别的基金份额只能选择一种分红方式，如投资人在不同销售机构选择的分红方式不同，则基金</w:t>
      </w:r>
      <w:r w:rsidRPr="00ED15FF">
        <w:rPr>
          <w:bCs/>
          <w:sz w:val="24"/>
        </w:rPr>
        <w:t>登记机构将以投资人最后一次选择的分红方式为准</w:t>
      </w:r>
      <w:r w:rsidRPr="00ED15FF">
        <w:rPr>
          <w:rFonts w:ascii="宋体" w:hAnsi="宋体" w:hint="eastAsia"/>
          <w:sz w:val="24"/>
        </w:rPr>
        <w:t>；</w:t>
      </w:r>
    </w:p>
    <w:p w14:paraId="24061A6E"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2、基金收益分配后各类基金份额净值不能低于面值，即基金收益分配基准日的任一类基金份额净值减去每单位该类基金份额收益分配金额后不能低于面值；</w:t>
      </w:r>
    </w:p>
    <w:p w14:paraId="1930B55F"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3、由于本基金A 类份额不收取销售服务费，C 类份额收取销售服务费，各基金份额类别对应的可供分配利润将有所不同。本基金同一类别每一基金份额享有同等分配权；</w:t>
      </w:r>
    </w:p>
    <w:p w14:paraId="7CAAB4F5"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4、法律法规或监管机关另有规定的，从其规定。</w:t>
      </w:r>
    </w:p>
    <w:p w14:paraId="3BED04BA"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在不违反法律法规及基金合同约定，并对基金份额持有人利益无实质不利影响的前提下，基金管理人可对基金收益分配原则和支付方式进行调整，不需召开基金份额持有人大会</w:t>
      </w:r>
      <w:r w:rsidRPr="00ED15FF">
        <w:rPr>
          <w:rFonts w:hint="eastAsia"/>
          <w:bCs/>
          <w:sz w:val="24"/>
        </w:rPr>
        <w:t>，但应于变更实施日前在规定媒介及时公告</w:t>
      </w:r>
      <w:r w:rsidRPr="00ED15FF">
        <w:rPr>
          <w:rFonts w:ascii="宋体" w:hAnsi="宋体" w:hint="eastAsia"/>
          <w:sz w:val="24"/>
        </w:rPr>
        <w:t>。</w:t>
      </w:r>
    </w:p>
    <w:p w14:paraId="0EDB38CD"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本基金实施侧袋机制的，侧袋账户不进行收益分配，详见招募说明书的规定。</w:t>
      </w:r>
    </w:p>
    <w:p w14:paraId="0B1ED32A"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（二）基金收益分配方案的确定与公告</w:t>
      </w:r>
    </w:p>
    <w:p w14:paraId="389798B2" w14:textId="77777777" w:rsidR="004F5B35" w:rsidRPr="00ED15FF" w:rsidRDefault="008C7F89">
      <w:pPr>
        <w:tabs>
          <w:tab w:val="left" w:pos="3780"/>
        </w:tabs>
        <w:spacing w:line="360" w:lineRule="auto"/>
        <w:ind w:firstLine="480"/>
        <w:outlineLvl w:val="0"/>
        <w:rPr>
          <w:rFonts w:ascii="宋体" w:hAnsi="宋体"/>
          <w:sz w:val="24"/>
        </w:rPr>
      </w:pPr>
      <w:bookmarkStart w:id="76" w:name="_Toc466788861"/>
      <w:bookmarkStart w:id="77" w:name="_Toc523830002"/>
      <w:bookmarkStart w:id="78" w:name="_Toc22454465"/>
      <w:r w:rsidRPr="00ED15FF">
        <w:rPr>
          <w:rFonts w:ascii="宋体" w:hAnsi="宋体" w:hint="eastAsia"/>
          <w:sz w:val="24"/>
        </w:rPr>
        <w:t>本基金收益分配方案由基金管理人拟定，并由基金托管人复核，依据相关规定在</w:t>
      </w:r>
      <w:r w:rsidRPr="00ED15FF">
        <w:rPr>
          <w:rFonts w:ascii="宋体" w:hAnsi="宋体"/>
          <w:sz w:val="24"/>
        </w:rPr>
        <w:t>规定媒介</w:t>
      </w:r>
      <w:r w:rsidRPr="00ED15FF">
        <w:rPr>
          <w:rFonts w:ascii="宋体" w:hAnsi="宋体" w:hint="eastAsia"/>
          <w:sz w:val="24"/>
        </w:rPr>
        <w:t>公告。</w:t>
      </w:r>
    </w:p>
    <w:p w14:paraId="2AC9C579" w14:textId="77777777" w:rsidR="004F5B35" w:rsidRPr="00ED15FF" w:rsidRDefault="008C7F89">
      <w:pPr>
        <w:pStyle w:val="117"/>
      </w:pPr>
      <w:bookmarkStart w:id="79" w:name="_Toc125892446"/>
      <w:bookmarkStart w:id="80" w:name="_Toc516233750"/>
      <w:r w:rsidRPr="00ED15FF">
        <w:t>十、基金信息披露</w:t>
      </w:r>
      <w:bookmarkEnd w:id="76"/>
      <w:bookmarkEnd w:id="77"/>
      <w:bookmarkEnd w:id="78"/>
      <w:bookmarkEnd w:id="79"/>
      <w:bookmarkEnd w:id="80"/>
    </w:p>
    <w:p w14:paraId="19A98083" w14:textId="77777777" w:rsidR="004F5B35" w:rsidRPr="00ED15FF" w:rsidRDefault="008C7F89">
      <w:pPr>
        <w:tabs>
          <w:tab w:val="left" w:pos="3780"/>
        </w:tabs>
        <w:spacing w:line="360" w:lineRule="auto"/>
        <w:outlineLvl w:val="0"/>
        <w:rPr>
          <w:rFonts w:ascii="宋体"/>
          <w:b/>
          <w:bCs/>
          <w:sz w:val="24"/>
        </w:rPr>
      </w:pPr>
      <w:bookmarkStart w:id="81" w:name="_Toc22454466"/>
      <w:bookmarkStart w:id="82" w:name="_Toc77663026"/>
      <w:r w:rsidRPr="00ED15FF">
        <w:rPr>
          <w:rFonts w:ascii="宋体" w:hAnsi="宋体"/>
          <w:b/>
          <w:bCs/>
          <w:sz w:val="24"/>
        </w:rPr>
        <w:t>（一）保密义务</w:t>
      </w:r>
      <w:bookmarkEnd w:id="81"/>
      <w:bookmarkEnd w:id="82"/>
    </w:p>
    <w:p w14:paraId="16B3D4FE"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lastRenderedPageBreak/>
        <w:t>除按照《基金法》、《信息披露办法》、《流动性风险管理规定》、《基金</w:t>
      </w:r>
      <w:r w:rsidRPr="00ED15FF">
        <w:rPr>
          <w:rFonts w:ascii="宋体" w:hAnsi="宋体"/>
          <w:sz w:val="24"/>
        </w:rPr>
        <w:t>合同</w:t>
      </w:r>
      <w:r w:rsidRPr="00ED15FF">
        <w:rPr>
          <w:rFonts w:ascii="宋体" w:hAnsi="宋体" w:hint="eastAsia"/>
          <w:sz w:val="24"/>
        </w:rPr>
        <w:t>》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14:paraId="0BFEDEFB"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如下情况不应视为基金管理人或基金托管人违反保密义务：</w:t>
      </w:r>
    </w:p>
    <w:p w14:paraId="4BBCFA55"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）非因基金管理人和基金托管人的原因导致保密信息被披露、泄露或公开；</w:t>
      </w:r>
    </w:p>
    <w:p w14:paraId="2BDC5CBB"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w:t>
      </w:r>
      <w:r w:rsidRPr="00ED15FF">
        <w:rPr>
          <w:rFonts w:ascii="宋体" w:hAnsi="宋体"/>
          <w:sz w:val="24"/>
        </w:rPr>
        <w:t>2）基金管理人和基金托管人为遵守和服从法院判决、仲裁裁决或中国证监会等监管机构的命令决定所做出的信息披露或公开。</w:t>
      </w:r>
      <w:bookmarkStart w:id="83" w:name="_Toc22454467"/>
      <w:bookmarkStart w:id="84" w:name="_Toc77663027"/>
    </w:p>
    <w:p w14:paraId="3FDE4135" w14:textId="77777777" w:rsidR="004F5B35" w:rsidRPr="00ED15FF" w:rsidRDefault="008C7F89">
      <w:pPr>
        <w:tabs>
          <w:tab w:val="left" w:pos="3780"/>
        </w:tabs>
        <w:spacing w:line="360" w:lineRule="auto"/>
        <w:outlineLvl w:val="0"/>
        <w:rPr>
          <w:rFonts w:ascii="宋体"/>
          <w:b/>
          <w:bCs/>
          <w:sz w:val="24"/>
        </w:rPr>
      </w:pPr>
      <w:r w:rsidRPr="00ED15FF">
        <w:rPr>
          <w:rFonts w:ascii="宋体" w:hAnsi="宋体"/>
          <w:b/>
          <w:bCs/>
          <w:sz w:val="24"/>
        </w:rPr>
        <w:t>（二）基金管理人和基金托管人在基金信息披露中的职责和信息披露程序</w:t>
      </w:r>
      <w:bookmarkEnd w:id="83"/>
      <w:bookmarkEnd w:id="84"/>
    </w:p>
    <w:p w14:paraId="4C786ED6"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340E6C0"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本基金信息披露的文件，包括《基金合同》规定的基金招募说明书、《基金合同》、基金托管协议、基金份额发售公告、《基金合同》生效公告、基金份额申购、赎回价格、定期报告、临时报告、澄清公告、基金产品资料概要、基金净值信息、基金份额持有人大会决议、资产支持证券的信息披露、基金投资国债期货、股指期货</w:t>
      </w:r>
      <w:r w:rsidRPr="00ED15FF">
        <w:rPr>
          <w:rFonts w:ascii="宋体" w:hAnsi="宋体"/>
          <w:sz w:val="24"/>
        </w:rPr>
        <w:t>、</w:t>
      </w:r>
      <w:r w:rsidRPr="00ED15FF">
        <w:rPr>
          <w:rFonts w:ascii="宋体" w:hAnsi="宋体" w:hint="eastAsia"/>
          <w:sz w:val="24"/>
        </w:rPr>
        <w:t>股票</w:t>
      </w:r>
      <w:r w:rsidRPr="00ED15FF">
        <w:rPr>
          <w:rFonts w:ascii="宋体" w:hAnsi="宋体"/>
          <w:sz w:val="24"/>
        </w:rPr>
        <w:t>期权</w:t>
      </w:r>
      <w:r w:rsidRPr="00ED15FF">
        <w:rPr>
          <w:rFonts w:ascii="宋体" w:hAnsi="宋体" w:hint="eastAsia"/>
          <w:sz w:val="24"/>
        </w:rPr>
        <w:t>的信息披露、投资信用衍生品的信息披露、参与港股通交易的信息披露、基金投资非公开发行股票的信息披露、基金投资存托凭证的信息披露、清算报告、实施侧袋机制期间的信息披露及中国证监会规定的其他必要的公告文件，由基金管理人拟定并公布。</w:t>
      </w:r>
    </w:p>
    <w:p w14:paraId="2BE139E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基金托管人应按本协议的相关规定对相关报告进行复核。基金年度报告中的财务会计报告经</w:t>
      </w:r>
      <w:r w:rsidRPr="00ED15FF">
        <w:rPr>
          <w:rFonts w:ascii="宋体" w:hAnsi="宋体" w:hint="eastAsia"/>
          <w:bCs/>
          <w:sz w:val="24"/>
        </w:rPr>
        <w:t>符合《中华人民共和国证券法》规定</w:t>
      </w:r>
      <w:r w:rsidRPr="00ED15FF">
        <w:rPr>
          <w:rFonts w:ascii="宋体" w:hAnsi="宋体" w:hint="eastAsia"/>
          <w:sz w:val="24"/>
        </w:rPr>
        <w:t>的会计师事务所审计后方可披露。</w:t>
      </w:r>
    </w:p>
    <w:p w14:paraId="7A763651"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本基金的信息披露公告，必须在中国证监会规定媒介</w:t>
      </w:r>
      <w:r w:rsidRPr="00ED15FF">
        <w:rPr>
          <w:rFonts w:ascii="宋体" w:hAnsi="宋体"/>
          <w:sz w:val="24"/>
        </w:rPr>
        <w:t>发布。</w:t>
      </w:r>
      <w:bookmarkStart w:id="85" w:name="_Toc466788862"/>
    </w:p>
    <w:p w14:paraId="240EA981"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（三）暂停或延迟信息披露的情形</w:t>
      </w:r>
    </w:p>
    <w:p w14:paraId="618978E0" w14:textId="77777777" w:rsidR="004F5B35" w:rsidRPr="00ED15FF" w:rsidRDefault="008C7F89">
      <w:pPr>
        <w:tabs>
          <w:tab w:val="left" w:pos="3780"/>
        </w:tabs>
        <w:spacing w:line="360" w:lineRule="auto"/>
        <w:ind w:firstLine="480"/>
        <w:outlineLvl w:val="0"/>
        <w:rPr>
          <w:rFonts w:ascii="宋体" w:hAnsi="宋体"/>
          <w:sz w:val="24"/>
        </w:rPr>
      </w:pPr>
      <w:r w:rsidRPr="00ED15FF">
        <w:rPr>
          <w:rFonts w:ascii="宋体" w:hAnsi="宋体" w:hint="eastAsia"/>
          <w:sz w:val="24"/>
        </w:rPr>
        <w:t>当出现下述情况时，基金管理人和基金托管人可暂停或延迟披露基金相关信息：</w:t>
      </w:r>
    </w:p>
    <w:p w14:paraId="71EF205C" w14:textId="77777777" w:rsidR="004F5B35" w:rsidRPr="00ED15FF" w:rsidRDefault="008C7F89">
      <w:pPr>
        <w:tabs>
          <w:tab w:val="left" w:pos="3780"/>
        </w:tabs>
        <w:spacing w:line="360" w:lineRule="auto"/>
        <w:ind w:firstLine="480"/>
        <w:outlineLvl w:val="0"/>
        <w:rPr>
          <w:rFonts w:ascii="宋体" w:hAnsi="宋体"/>
          <w:sz w:val="24"/>
        </w:rPr>
      </w:pPr>
      <w:r w:rsidRPr="00ED15FF">
        <w:rPr>
          <w:rFonts w:ascii="宋体" w:hAnsi="宋体"/>
          <w:sz w:val="24"/>
        </w:rPr>
        <w:lastRenderedPageBreak/>
        <w:t>1</w:t>
      </w:r>
      <w:r w:rsidRPr="00ED15FF">
        <w:rPr>
          <w:rFonts w:ascii="宋体" w:hAnsi="宋体" w:hint="eastAsia"/>
          <w:sz w:val="24"/>
        </w:rPr>
        <w:t>、不可抗力；</w:t>
      </w:r>
    </w:p>
    <w:p w14:paraId="7DB95457" w14:textId="77777777" w:rsidR="004F5B35" w:rsidRPr="00ED15FF" w:rsidRDefault="008C7F89">
      <w:pPr>
        <w:tabs>
          <w:tab w:val="left" w:pos="3780"/>
        </w:tabs>
        <w:spacing w:line="360" w:lineRule="auto"/>
        <w:ind w:firstLine="480"/>
        <w:outlineLvl w:val="0"/>
        <w:rPr>
          <w:rFonts w:ascii="宋体" w:hAnsi="宋体"/>
          <w:sz w:val="24"/>
        </w:rPr>
      </w:pPr>
      <w:r w:rsidRPr="00ED15FF">
        <w:rPr>
          <w:rFonts w:ascii="宋体" w:hAnsi="宋体"/>
          <w:sz w:val="24"/>
        </w:rPr>
        <w:t>2</w:t>
      </w:r>
      <w:r w:rsidRPr="00ED15FF">
        <w:rPr>
          <w:rFonts w:ascii="宋体" w:hAnsi="宋体" w:hint="eastAsia"/>
          <w:sz w:val="24"/>
        </w:rPr>
        <w:t>、基金投资所涉及的证券、期货交易市场</w:t>
      </w:r>
      <w:r w:rsidRPr="00ED15FF">
        <w:rPr>
          <w:rFonts w:hint="eastAsia"/>
          <w:bCs/>
          <w:sz w:val="24"/>
        </w:rPr>
        <w:t>或外汇市场</w:t>
      </w:r>
      <w:r w:rsidRPr="00ED15FF">
        <w:rPr>
          <w:rFonts w:ascii="宋体" w:hAnsi="宋体" w:hint="eastAsia"/>
          <w:sz w:val="24"/>
        </w:rPr>
        <w:t>遇法定节假日或因其他原因暂停营业时；</w:t>
      </w:r>
    </w:p>
    <w:p w14:paraId="49E5959A" w14:textId="4B427D38" w:rsidR="004F5B35" w:rsidRPr="00ED15FF" w:rsidRDefault="008C7F89">
      <w:pPr>
        <w:tabs>
          <w:tab w:val="left" w:pos="3780"/>
        </w:tabs>
        <w:spacing w:line="360" w:lineRule="auto"/>
        <w:ind w:firstLine="480"/>
        <w:outlineLvl w:val="0"/>
        <w:rPr>
          <w:rFonts w:ascii="宋体" w:hAnsi="宋体"/>
          <w:sz w:val="24"/>
        </w:rPr>
      </w:pPr>
      <w:r w:rsidRPr="00ED15FF">
        <w:rPr>
          <w:rFonts w:ascii="宋体" w:hAnsi="宋体" w:hint="eastAsia"/>
          <w:sz w:val="24"/>
        </w:rPr>
        <w:t>3、基金合同约定的暂停估值的情形；</w:t>
      </w:r>
    </w:p>
    <w:p w14:paraId="07A90280" w14:textId="77777777" w:rsidR="004F5B35" w:rsidRPr="00ED15FF" w:rsidRDefault="008C7F89">
      <w:pPr>
        <w:tabs>
          <w:tab w:val="left" w:pos="3780"/>
        </w:tabs>
        <w:spacing w:line="360" w:lineRule="auto"/>
        <w:ind w:firstLine="480"/>
        <w:outlineLvl w:val="0"/>
        <w:rPr>
          <w:rFonts w:ascii="宋体"/>
          <w:sz w:val="24"/>
        </w:rPr>
      </w:pPr>
      <w:r w:rsidRPr="00ED15FF">
        <w:rPr>
          <w:rFonts w:ascii="宋体" w:hAnsi="宋体" w:hint="eastAsia"/>
          <w:sz w:val="24"/>
        </w:rPr>
        <w:t>4、法律法规、基金合同或中国证监会规定的情况。</w:t>
      </w:r>
    </w:p>
    <w:p w14:paraId="79D19BE6"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t>（四）基金托管人报告</w:t>
      </w:r>
    </w:p>
    <w:p w14:paraId="7956B79E"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基金托管人应按《基金法》和中国证监会的有关规定出具基金托管情况报告。基金托管人报告说明该半年度</w:t>
      </w:r>
      <w:r w:rsidRPr="00ED15FF">
        <w:rPr>
          <w:rFonts w:ascii="宋体" w:hAnsi="宋体"/>
          <w:sz w:val="24"/>
        </w:rPr>
        <w:t>/</w:t>
      </w:r>
      <w:r w:rsidRPr="00ED15FF">
        <w:rPr>
          <w:rFonts w:ascii="宋体" w:hAnsi="宋体" w:hint="eastAsia"/>
          <w:sz w:val="24"/>
        </w:rPr>
        <w:t>年度基金托管人和基金管理人履行《基金合同》的情况，是基金中期</w:t>
      </w:r>
      <w:r w:rsidRPr="00ED15FF">
        <w:rPr>
          <w:rFonts w:ascii="宋体" w:hAnsi="宋体"/>
          <w:sz w:val="24"/>
        </w:rPr>
        <w:t>报告和年度报告的组成部分。</w:t>
      </w:r>
      <w:bookmarkStart w:id="86" w:name="_Toc125892447"/>
    </w:p>
    <w:p w14:paraId="0ECF2C5A" w14:textId="77777777" w:rsidR="004F5B35" w:rsidRPr="00ED15FF" w:rsidRDefault="008C7F89">
      <w:pPr>
        <w:pStyle w:val="117"/>
      </w:pPr>
      <w:bookmarkStart w:id="87" w:name="_Toc516233751"/>
      <w:r w:rsidRPr="00ED15FF">
        <w:t>十一、基金费用</w:t>
      </w:r>
      <w:bookmarkEnd w:id="86"/>
      <w:bookmarkEnd w:id="87"/>
    </w:p>
    <w:p w14:paraId="3CE5273A" w14:textId="77777777" w:rsidR="004F5B35" w:rsidRPr="00ED15FF" w:rsidRDefault="008C7F89">
      <w:pPr>
        <w:tabs>
          <w:tab w:val="num" w:pos="1260"/>
        </w:tabs>
        <w:spacing w:line="360" w:lineRule="auto"/>
        <w:ind w:firstLine="482"/>
        <w:rPr>
          <w:rFonts w:ascii="宋体"/>
          <w:b/>
          <w:sz w:val="24"/>
        </w:rPr>
      </w:pPr>
      <w:r w:rsidRPr="00ED15FF">
        <w:rPr>
          <w:rFonts w:ascii="宋体" w:hAnsi="宋体" w:hint="eastAsia"/>
          <w:b/>
          <w:sz w:val="24"/>
        </w:rPr>
        <w:t>（一）基金管理人的管理费</w:t>
      </w:r>
    </w:p>
    <w:p w14:paraId="3E1EAE31" w14:textId="77777777" w:rsidR="004F5B35" w:rsidRPr="00ED15FF" w:rsidRDefault="008C7F89">
      <w:pPr>
        <w:spacing w:line="360" w:lineRule="auto"/>
        <w:ind w:firstLine="480"/>
        <w:rPr>
          <w:bCs/>
          <w:sz w:val="24"/>
        </w:rPr>
      </w:pPr>
      <w:r w:rsidRPr="00ED15FF">
        <w:rPr>
          <w:bCs/>
          <w:sz w:val="24"/>
        </w:rPr>
        <w:t>本基金的管理费按前一日基金资产净值的</w:t>
      </w:r>
      <w:r w:rsidRPr="00ED15FF">
        <w:rPr>
          <w:rFonts w:hint="eastAsia"/>
          <w:bCs/>
          <w:sz w:val="24"/>
        </w:rPr>
        <w:t>1.50%</w:t>
      </w:r>
      <w:r w:rsidRPr="00ED15FF">
        <w:rPr>
          <w:bCs/>
          <w:sz w:val="24"/>
        </w:rPr>
        <w:t>年费率计提。管理费的计算方法如下：</w:t>
      </w:r>
    </w:p>
    <w:p w14:paraId="3A0D6AA3" w14:textId="77777777" w:rsidR="004F5B35" w:rsidRPr="00ED15FF" w:rsidRDefault="008C7F89">
      <w:pPr>
        <w:spacing w:line="360" w:lineRule="auto"/>
        <w:ind w:firstLine="480"/>
        <w:rPr>
          <w:bCs/>
          <w:sz w:val="24"/>
        </w:rPr>
      </w:pPr>
      <w:r w:rsidRPr="00ED15FF">
        <w:rPr>
          <w:bCs/>
          <w:sz w:val="24"/>
        </w:rPr>
        <w:t>H</w:t>
      </w:r>
      <w:r w:rsidRPr="00ED15FF">
        <w:rPr>
          <w:bCs/>
          <w:sz w:val="24"/>
        </w:rPr>
        <w:t>＝</w:t>
      </w:r>
      <w:r w:rsidRPr="00ED15FF">
        <w:rPr>
          <w:bCs/>
          <w:sz w:val="24"/>
        </w:rPr>
        <w:t>E×</w:t>
      </w:r>
      <w:r w:rsidRPr="00ED15FF">
        <w:rPr>
          <w:rFonts w:hint="eastAsia"/>
          <w:bCs/>
          <w:sz w:val="24"/>
        </w:rPr>
        <w:t xml:space="preserve"> 1.50%</w:t>
      </w:r>
      <w:r w:rsidRPr="00ED15FF">
        <w:rPr>
          <w:bCs/>
          <w:sz w:val="24"/>
        </w:rPr>
        <w:t>÷</w:t>
      </w:r>
      <w:r w:rsidRPr="00ED15FF">
        <w:rPr>
          <w:bCs/>
          <w:sz w:val="24"/>
        </w:rPr>
        <w:t>当年天数</w:t>
      </w:r>
    </w:p>
    <w:p w14:paraId="2FC0CB14" w14:textId="77777777" w:rsidR="004F5B35" w:rsidRPr="00ED15FF" w:rsidRDefault="008C7F89">
      <w:pPr>
        <w:spacing w:line="360" w:lineRule="auto"/>
        <w:ind w:firstLine="480"/>
        <w:rPr>
          <w:bCs/>
          <w:sz w:val="24"/>
        </w:rPr>
      </w:pPr>
      <w:r w:rsidRPr="00ED15FF">
        <w:rPr>
          <w:bCs/>
          <w:sz w:val="24"/>
        </w:rPr>
        <w:t>H</w:t>
      </w:r>
      <w:r w:rsidRPr="00ED15FF">
        <w:rPr>
          <w:bCs/>
          <w:sz w:val="24"/>
        </w:rPr>
        <w:t>为每日应计提的基金管理费</w:t>
      </w:r>
    </w:p>
    <w:p w14:paraId="123B8C45" w14:textId="77777777" w:rsidR="004F5B35" w:rsidRPr="00ED15FF" w:rsidRDefault="008C7F89">
      <w:pPr>
        <w:spacing w:line="360" w:lineRule="auto"/>
        <w:ind w:firstLine="480"/>
        <w:rPr>
          <w:bCs/>
          <w:sz w:val="24"/>
        </w:rPr>
      </w:pPr>
      <w:r w:rsidRPr="00ED15FF">
        <w:rPr>
          <w:bCs/>
          <w:sz w:val="24"/>
        </w:rPr>
        <w:t>E</w:t>
      </w:r>
      <w:r w:rsidRPr="00ED15FF">
        <w:rPr>
          <w:bCs/>
          <w:sz w:val="24"/>
        </w:rPr>
        <w:t>为前一日的基金资产净值</w:t>
      </w:r>
    </w:p>
    <w:p w14:paraId="1180E9EB"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费每日计提，逐日累计至每月月末，按月支付，经基金管理人与基金托管人核对一致后，由基金托管人于次月首日起2-5个工作日内从基金财产中一次性支付给基金管理人。若遇法定节假日、公休假或不可抗力等，支付日期顺延。</w:t>
      </w:r>
    </w:p>
    <w:p w14:paraId="199A8E5A" w14:textId="77777777" w:rsidR="004F5B35" w:rsidRPr="00ED15FF" w:rsidRDefault="008C7F89">
      <w:pPr>
        <w:tabs>
          <w:tab w:val="num" w:pos="1260"/>
        </w:tabs>
        <w:spacing w:line="360" w:lineRule="auto"/>
        <w:ind w:firstLine="482"/>
        <w:rPr>
          <w:rFonts w:ascii="宋体"/>
          <w:b/>
          <w:sz w:val="24"/>
        </w:rPr>
      </w:pPr>
      <w:r w:rsidRPr="00ED15FF">
        <w:rPr>
          <w:rFonts w:ascii="宋体" w:hAnsi="宋体" w:hint="eastAsia"/>
          <w:b/>
          <w:sz w:val="24"/>
        </w:rPr>
        <w:t>（二）基金托管人的托管费</w:t>
      </w:r>
    </w:p>
    <w:p w14:paraId="5953CC17" w14:textId="77777777" w:rsidR="004F5B35" w:rsidRPr="00ED15FF" w:rsidRDefault="008C7F89">
      <w:pPr>
        <w:spacing w:line="360" w:lineRule="auto"/>
        <w:ind w:firstLine="480"/>
        <w:rPr>
          <w:bCs/>
          <w:sz w:val="24"/>
        </w:rPr>
      </w:pPr>
      <w:r w:rsidRPr="00ED15FF">
        <w:rPr>
          <w:bCs/>
          <w:sz w:val="24"/>
        </w:rPr>
        <w:t>本基金的托管费按前一日基金资产净值的</w:t>
      </w:r>
      <w:r w:rsidRPr="00ED15FF">
        <w:rPr>
          <w:rFonts w:hint="eastAsia"/>
          <w:bCs/>
          <w:sz w:val="24"/>
        </w:rPr>
        <w:t xml:space="preserve">0.25% </w:t>
      </w:r>
      <w:r w:rsidRPr="00ED15FF">
        <w:rPr>
          <w:bCs/>
          <w:sz w:val="24"/>
        </w:rPr>
        <w:t>的年费率计提。托管费的计算方法如下：</w:t>
      </w:r>
    </w:p>
    <w:p w14:paraId="7EC96D70" w14:textId="77777777" w:rsidR="004F5B35" w:rsidRPr="00ED15FF" w:rsidRDefault="008C7F89">
      <w:pPr>
        <w:spacing w:line="360" w:lineRule="auto"/>
        <w:ind w:firstLine="480"/>
        <w:rPr>
          <w:bCs/>
          <w:sz w:val="24"/>
        </w:rPr>
      </w:pPr>
      <w:r w:rsidRPr="00ED15FF">
        <w:rPr>
          <w:bCs/>
          <w:sz w:val="24"/>
        </w:rPr>
        <w:t>H</w:t>
      </w:r>
      <w:r w:rsidRPr="00ED15FF">
        <w:rPr>
          <w:bCs/>
          <w:sz w:val="24"/>
        </w:rPr>
        <w:t>＝</w:t>
      </w:r>
      <w:r w:rsidRPr="00ED15FF">
        <w:rPr>
          <w:bCs/>
          <w:sz w:val="24"/>
        </w:rPr>
        <w:t>E×</w:t>
      </w:r>
      <w:r w:rsidRPr="00ED15FF">
        <w:rPr>
          <w:rFonts w:hint="eastAsia"/>
          <w:bCs/>
          <w:sz w:val="24"/>
        </w:rPr>
        <w:t>0.25%</w:t>
      </w:r>
      <w:r w:rsidRPr="00ED15FF">
        <w:rPr>
          <w:bCs/>
          <w:sz w:val="24"/>
        </w:rPr>
        <w:t>÷</w:t>
      </w:r>
      <w:r w:rsidRPr="00ED15FF">
        <w:rPr>
          <w:bCs/>
          <w:sz w:val="24"/>
        </w:rPr>
        <w:t>当年天数</w:t>
      </w:r>
    </w:p>
    <w:p w14:paraId="10784EC9" w14:textId="77777777" w:rsidR="004F5B35" w:rsidRPr="00ED15FF" w:rsidRDefault="008C7F89">
      <w:pPr>
        <w:spacing w:line="360" w:lineRule="auto"/>
        <w:ind w:firstLine="480"/>
        <w:rPr>
          <w:bCs/>
          <w:sz w:val="24"/>
        </w:rPr>
      </w:pPr>
      <w:r w:rsidRPr="00ED15FF">
        <w:rPr>
          <w:bCs/>
          <w:sz w:val="24"/>
        </w:rPr>
        <w:t>H</w:t>
      </w:r>
      <w:r w:rsidRPr="00ED15FF">
        <w:rPr>
          <w:bCs/>
          <w:sz w:val="24"/>
        </w:rPr>
        <w:t>为每日应计提的基金托管费</w:t>
      </w:r>
    </w:p>
    <w:p w14:paraId="72733A7A" w14:textId="77777777" w:rsidR="004F5B35" w:rsidRPr="00ED15FF" w:rsidRDefault="008C7F89">
      <w:pPr>
        <w:spacing w:line="360" w:lineRule="auto"/>
        <w:ind w:firstLine="480"/>
        <w:rPr>
          <w:bCs/>
          <w:sz w:val="24"/>
        </w:rPr>
      </w:pPr>
      <w:r w:rsidRPr="00ED15FF">
        <w:rPr>
          <w:bCs/>
          <w:sz w:val="24"/>
        </w:rPr>
        <w:t>E</w:t>
      </w:r>
      <w:r w:rsidRPr="00ED15FF">
        <w:rPr>
          <w:bCs/>
          <w:sz w:val="24"/>
        </w:rPr>
        <w:t>为前一日的基金资产净值</w:t>
      </w:r>
    </w:p>
    <w:p w14:paraId="499742C5"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基金托管费每日计提，逐日累计至每月月末，按月支付，</w:t>
      </w:r>
      <w:r w:rsidRPr="00ED15FF">
        <w:rPr>
          <w:rFonts w:hint="eastAsia"/>
          <w:bCs/>
          <w:sz w:val="24"/>
        </w:rPr>
        <w:t>经基金管理人与基金托管人核对一致后，由基金托管人于次月首日起</w:t>
      </w:r>
      <w:r w:rsidRPr="00ED15FF">
        <w:rPr>
          <w:rFonts w:hint="eastAsia"/>
          <w:bCs/>
          <w:sz w:val="24"/>
        </w:rPr>
        <w:t>2-5</w:t>
      </w:r>
      <w:r w:rsidRPr="00ED15FF">
        <w:rPr>
          <w:rFonts w:hint="eastAsia"/>
          <w:bCs/>
          <w:sz w:val="24"/>
        </w:rPr>
        <w:t>个工作日内从基金财产中一次性支取。</w:t>
      </w:r>
      <w:r w:rsidRPr="00ED15FF">
        <w:rPr>
          <w:rFonts w:ascii="宋体" w:hAnsi="宋体" w:hint="eastAsia"/>
          <w:sz w:val="24"/>
        </w:rPr>
        <w:t>若遇法定节假日、公休假或不可抗力等，支付日期顺延。</w:t>
      </w:r>
    </w:p>
    <w:p w14:paraId="4AE9617F" w14:textId="77777777" w:rsidR="004F5B35" w:rsidRPr="00ED15FF" w:rsidRDefault="008C7F89">
      <w:pPr>
        <w:tabs>
          <w:tab w:val="num" w:pos="1260"/>
        </w:tabs>
        <w:spacing w:line="360" w:lineRule="auto"/>
        <w:ind w:firstLine="482"/>
        <w:rPr>
          <w:rFonts w:ascii="宋体"/>
          <w:b/>
          <w:sz w:val="24"/>
        </w:rPr>
      </w:pPr>
      <w:r w:rsidRPr="00ED15FF">
        <w:rPr>
          <w:rFonts w:ascii="宋体" w:hAnsi="宋体" w:hint="eastAsia"/>
          <w:b/>
          <w:sz w:val="24"/>
        </w:rPr>
        <w:lastRenderedPageBreak/>
        <w:t>（三）基金销售服务费</w:t>
      </w:r>
    </w:p>
    <w:p w14:paraId="764E2E7C" w14:textId="77777777" w:rsidR="004F5B35" w:rsidRPr="00ED15FF" w:rsidRDefault="008C7F89">
      <w:pPr>
        <w:spacing w:line="360" w:lineRule="auto"/>
        <w:ind w:firstLine="480"/>
        <w:rPr>
          <w:bCs/>
          <w:sz w:val="24"/>
        </w:rPr>
      </w:pPr>
      <w:r w:rsidRPr="00ED15FF">
        <w:rPr>
          <w:rFonts w:hint="eastAsia"/>
          <w:bCs/>
          <w:sz w:val="24"/>
        </w:rPr>
        <w:t>本基金</w:t>
      </w:r>
      <w:r w:rsidRPr="00ED15FF">
        <w:rPr>
          <w:rFonts w:hint="eastAsia"/>
          <w:bCs/>
          <w:sz w:val="24"/>
        </w:rPr>
        <w:t xml:space="preserve"> A </w:t>
      </w:r>
      <w:r w:rsidRPr="00ED15FF">
        <w:rPr>
          <w:rFonts w:hint="eastAsia"/>
          <w:bCs/>
          <w:sz w:val="24"/>
        </w:rPr>
        <w:t>类份额不收取销售服务费，</w:t>
      </w:r>
      <w:r w:rsidRPr="00ED15FF">
        <w:rPr>
          <w:rFonts w:hint="eastAsia"/>
          <w:bCs/>
          <w:sz w:val="24"/>
        </w:rPr>
        <w:t xml:space="preserve">C </w:t>
      </w:r>
      <w:r w:rsidRPr="00ED15FF">
        <w:rPr>
          <w:rFonts w:hint="eastAsia"/>
          <w:bCs/>
          <w:sz w:val="24"/>
        </w:rPr>
        <w:t>类份额的销售服务费按前一日</w:t>
      </w:r>
      <w:r w:rsidRPr="00ED15FF">
        <w:rPr>
          <w:rFonts w:hint="eastAsia"/>
          <w:bCs/>
          <w:sz w:val="24"/>
        </w:rPr>
        <w:t xml:space="preserve">C </w:t>
      </w:r>
      <w:r w:rsidRPr="00ED15FF">
        <w:rPr>
          <w:rFonts w:hint="eastAsia"/>
          <w:bCs/>
          <w:sz w:val="24"/>
        </w:rPr>
        <w:t>类份额基金资产净值的</w:t>
      </w:r>
      <w:r w:rsidRPr="00ED15FF">
        <w:rPr>
          <w:rFonts w:hint="eastAsia"/>
          <w:bCs/>
          <w:sz w:val="24"/>
        </w:rPr>
        <w:t>0.80%</w:t>
      </w:r>
      <w:r w:rsidRPr="00ED15FF">
        <w:rPr>
          <w:rFonts w:hint="eastAsia"/>
          <w:bCs/>
          <w:sz w:val="24"/>
        </w:rPr>
        <w:t>年费率计提。计算方法如下：</w:t>
      </w:r>
    </w:p>
    <w:p w14:paraId="305A33B9" w14:textId="77777777" w:rsidR="004F5B35" w:rsidRPr="00ED15FF" w:rsidRDefault="008C7F89">
      <w:pPr>
        <w:spacing w:line="360" w:lineRule="auto"/>
        <w:ind w:firstLine="480"/>
        <w:rPr>
          <w:bCs/>
          <w:sz w:val="24"/>
        </w:rPr>
      </w:pPr>
      <w:r w:rsidRPr="00ED15FF">
        <w:rPr>
          <w:rFonts w:hint="eastAsia"/>
          <w:bCs/>
          <w:sz w:val="24"/>
        </w:rPr>
        <w:t>H</w:t>
      </w:r>
      <w:r w:rsidRPr="00ED15FF">
        <w:rPr>
          <w:rFonts w:hint="eastAsia"/>
          <w:bCs/>
          <w:sz w:val="24"/>
        </w:rPr>
        <w:t>＝</w:t>
      </w:r>
      <w:r w:rsidRPr="00ED15FF">
        <w:rPr>
          <w:rFonts w:hint="eastAsia"/>
          <w:bCs/>
          <w:sz w:val="24"/>
        </w:rPr>
        <w:t>E</w:t>
      </w:r>
      <w:r w:rsidRPr="00ED15FF">
        <w:rPr>
          <w:rFonts w:hint="eastAsia"/>
          <w:bCs/>
          <w:sz w:val="24"/>
        </w:rPr>
        <w:t>×</w:t>
      </w:r>
      <w:r w:rsidRPr="00ED15FF">
        <w:rPr>
          <w:rFonts w:hint="eastAsia"/>
          <w:bCs/>
          <w:sz w:val="24"/>
        </w:rPr>
        <w:t>0.80%</w:t>
      </w:r>
      <w:r w:rsidRPr="00ED15FF">
        <w:rPr>
          <w:rFonts w:hint="eastAsia"/>
          <w:bCs/>
          <w:sz w:val="24"/>
        </w:rPr>
        <w:t>÷当年天数</w:t>
      </w:r>
    </w:p>
    <w:p w14:paraId="0F7F109C" w14:textId="77777777" w:rsidR="004F5B35" w:rsidRPr="00ED15FF" w:rsidRDefault="008C7F89">
      <w:pPr>
        <w:spacing w:line="360" w:lineRule="auto"/>
        <w:ind w:firstLine="480"/>
        <w:rPr>
          <w:bCs/>
          <w:sz w:val="24"/>
        </w:rPr>
      </w:pPr>
      <w:r w:rsidRPr="00ED15FF">
        <w:rPr>
          <w:rFonts w:hint="eastAsia"/>
          <w:bCs/>
          <w:sz w:val="24"/>
        </w:rPr>
        <w:t xml:space="preserve">H </w:t>
      </w:r>
      <w:r w:rsidRPr="00ED15FF">
        <w:rPr>
          <w:rFonts w:hint="eastAsia"/>
          <w:bCs/>
          <w:sz w:val="24"/>
        </w:rPr>
        <w:t>为</w:t>
      </w:r>
      <w:r w:rsidRPr="00ED15FF">
        <w:rPr>
          <w:rFonts w:hint="eastAsia"/>
          <w:bCs/>
          <w:sz w:val="24"/>
        </w:rPr>
        <w:t xml:space="preserve">C </w:t>
      </w:r>
      <w:r w:rsidRPr="00ED15FF">
        <w:rPr>
          <w:rFonts w:hint="eastAsia"/>
          <w:bCs/>
          <w:sz w:val="24"/>
        </w:rPr>
        <w:t>类份额每日应计提的销售服务费</w:t>
      </w:r>
    </w:p>
    <w:p w14:paraId="18ACE054" w14:textId="77777777" w:rsidR="004F5B35" w:rsidRPr="00ED15FF" w:rsidRDefault="008C7F89">
      <w:pPr>
        <w:spacing w:line="360" w:lineRule="auto"/>
        <w:ind w:firstLine="480"/>
        <w:rPr>
          <w:bCs/>
          <w:sz w:val="24"/>
        </w:rPr>
      </w:pPr>
      <w:r w:rsidRPr="00ED15FF">
        <w:rPr>
          <w:rFonts w:hint="eastAsia"/>
          <w:bCs/>
          <w:sz w:val="24"/>
        </w:rPr>
        <w:t xml:space="preserve">E </w:t>
      </w:r>
      <w:r w:rsidRPr="00ED15FF">
        <w:rPr>
          <w:rFonts w:hint="eastAsia"/>
          <w:bCs/>
          <w:sz w:val="24"/>
        </w:rPr>
        <w:t>为</w:t>
      </w:r>
      <w:r w:rsidRPr="00ED15FF">
        <w:rPr>
          <w:rFonts w:hint="eastAsia"/>
          <w:bCs/>
          <w:sz w:val="24"/>
        </w:rPr>
        <w:t xml:space="preserve">C </w:t>
      </w:r>
      <w:r w:rsidRPr="00ED15FF">
        <w:rPr>
          <w:rFonts w:hint="eastAsia"/>
          <w:bCs/>
          <w:sz w:val="24"/>
        </w:rPr>
        <w:t>类份额前一日基金资产净值</w:t>
      </w:r>
    </w:p>
    <w:p w14:paraId="3B26BE13" w14:textId="77777777" w:rsidR="004F5B35" w:rsidRPr="00ED15FF" w:rsidRDefault="008C7F89">
      <w:pPr>
        <w:spacing w:line="360" w:lineRule="auto"/>
        <w:ind w:firstLine="480"/>
        <w:rPr>
          <w:rFonts w:ascii="宋体" w:hAnsi="宋体"/>
          <w:sz w:val="24"/>
        </w:rPr>
      </w:pPr>
      <w:r w:rsidRPr="00ED15FF">
        <w:rPr>
          <w:rFonts w:hint="eastAsia"/>
          <w:bCs/>
          <w:sz w:val="24"/>
        </w:rPr>
        <w:t xml:space="preserve">C </w:t>
      </w:r>
      <w:r w:rsidRPr="00ED15FF">
        <w:rPr>
          <w:rFonts w:hint="eastAsia"/>
          <w:bCs/>
          <w:sz w:val="24"/>
        </w:rPr>
        <w:t>类基金份额的</w:t>
      </w:r>
      <w:r w:rsidRPr="00ED15FF">
        <w:rPr>
          <w:rFonts w:ascii="宋体" w:hAnsi="宋体" w:hint="eastAsia"/>
          <w:sz w:val="24"/>
        </w:rPr>
        <w:t>基金销售服务费每日计提，逐日累计至每月月末，按月支付，</w:t>
      </w:r>
      <w:r w:rsidRPr="00ED15FF">
        <w:rPr>
          <w:rFonts w:hint="eastAsia"/>
          <w:bCs/>
          <w:sz w:val="24"/>
        </w:rPr>
        <w:t>经基金管理人与基金托管人核对一致后，由基金托管人于次月首日起</w:t>
      </w:r>
      <w:r w:rsidRPr="00ED15FF">
        <w:rPr>
          <w:rFonts w:hint="eastAsia"/>
          <w:bCs/>
          <w:sz w:val="24"/>
        </w:rPr>
        <w:t>2-5</w:t>
      </w:r>
      <w:r w:rsidRPr="00ED15FF">
        <w:rPr>
          <w:rFonts w:hint="eastAsia"/>
          <w:bCs/>
          <w:sz w:val="24"/>
        </w:rPr>
        <w:t>个工作日内从基金财产中一次性支付给基金管理人，由基金管理人代付给销售机构。</w:t>
      </w:r>
      <w:r w:rsidRPr="00ED15FF">
        <w:rPr>
          <w:rFonts w:ascii="宋体" w:hAnsi="宋体" w:hint="eastAsia"/>
          <w:sz w:val="24"/>
        </w:rPr>
        <w:t>若遇法定节假日、公休假或不可抗力等，支付日期顺延。</w:t>
      </w:r>
    </w:p>
    <w:p w14:paraId="5856A449" w14:textId="77777777" w:rsidR="004F5B35" w:rsidRPr="00ED15FF" w:rsidRDefault="004F5B35">
      <w:pPr>
        <w:spacing w:line="360" w:lineRule="auto"/>
        <w:ind w:firstLine="482"/>
        <w:rPr>
          <w:rFonts w:ascii="宋体"/>
          <w:bCs/>
          <w:vanish/>
          <w:sz w:val="24"/>
        </w:rPr>
      </w:pPr>
    </w:p>
    <w:p w14:paraId="0EE96601" w14:textId="77777777" w:rsidR="004F5B35" w:rsidRPr="00ED15FF" w:rsidRDefault="004F5B35">
      <w:pPr>
        <w:spacing w:line="360" w:lineRule="auto"/>
        <w:ind w:firstLine="482"/>
        <w:rPr>
          <w:rFonts w:ascii="宋体" w:hAnsi="宋体"/>
          <w:sz w:val="24"/>
        </w:rPr>
      </w:pPr>
      <w:r w:rsidRPr="00ED15FF">
        <w:rPr>
          <w:rFonts w:ascii="宋体" w:hAnsi="宋体"/>
          <w:bCs/>
          <w:sz w:val="24"/>
        </w:rPr>
        <w:t>（四）</w:t>
      </w:r>
      <w:r w:rsidR="008C7F89" w:rsidRPr="00ED15FF">
        <w:rPr>
          <w:rFonts w:ascii="宋体" w:hAnsi="宋体" w:hint="eastAsia"/>
          <w:sz w:val="24"/>
        </w:rPr>
        <w:t>从基金资产中列支基金管理人的管理费、基金托管人的托管费及销售服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相关</w:t>
      </w:r>
      <w:r w:rsidR="008C7F89" w:rsidRPr="00ED15FF">
        <w:rPr>
          <w:rFonts w:ascii="宋体" w:hAnsi="宋体"/>
          <w:sz w:val="24"/>
        </w:rPr>
        <w:t>费用，包括</w:t>
      </w:r>
      <w:r w:rsidR="008C7F89" w:rsidRPr="00ED15FF">
        <w:rPr>
          <w:rFonts w:ascii="宋体" w:hAnsi="宋体" w:hint="eastAsia"/>
          <w:sz w:val="24"/>
        </w:rPr>
        <w:t>律师费、会计师费和信息披露费用等不得从基金财产中列支；基金托管人对不符合《基金法》、《运作办法》等有关规定以及《基金合同》约定</w:t>
      </w:r>
      <w:r w:rsidR="008C7F89" w:rsidRPr="00ED15FF">
        <w:rPr>
          <w:rFonts w:ascii="宋体" w:hAnsi="宋体"/>
          <w:sz w:val="24"/>
        </w:rPr>
        <w:t>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88" w:name="_Toc125892448"/>
    </w:p>
    <w:p w14:paraId="2AFAF3E7"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（五）实施侧袋机制期间的基金费用</w:t>
      </w:r>
      <w:r w:rsidRPr="00ED15FF">
        <w:rPr>
          <w:rFonts w:ascii="宋体" w:hAnsi="宋体"/>
          <w:sz w:val="24"/>
        </w:rPr>
        <w:t xml:space="preserve"> </w:t>
      </w:r>
    </w:p>
    <w:p w14:paraId="786BBFF4"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14:paraId="58AFE814" w14:textId="77777777" w:rsidR="004F5B35" w:rsidRPr="00ED15FF" w:rsidRDefault="004F5B35">
      <w:pPr>
        <w:spacing w:line="360" w:lineRule="auto"/>
        <w:ind w:firstLine="470"/>
        <w:jc w:val="left"/>
        <w:rPr>
          <w:rFonts w:ascii="宋体"/>
          <w:sz w:val="24"/>
        </w:rPr>
      </w:pPr>
    </w:p>
    <w:p w14:paraId="6F672B98" w14:textId="77777777" w:rsidR="004F5B35" w:rsidRPr="00ED15FF" w:rsidRDefault="008C7F89">
      <w:pPr>
        <w:pStyle w:val="117"/>
        <w:ind w:firstLine="420"/>
      </w:pPr>
      <w:bookmarkStart w:id="89" w:name="_Toc516233752"/>
      <w:r w:rsidRPr="00ED15FF">
        <w:t>十二、基金份额持有人名册的保管</w:t>
      </w:r>
      <w:bookmarkEnd w:id="88"/>
      <w:bookmarkEnd w:id="89"/>
    </w:p>
    <w:p w14:paraId="6400485F" w14:textId="77777777" w:rsidR="002D2B2F" w:rsidRPr="00ED15FF" w:rsidRDefault="002D2B2F" w:rsidP="002D2B2F">
      <w:pPr>
        <w:tabs>
          <w:tab w:val="num" w:pos="1260"/>
        </w:tabs>
        <w:spacing w:line="360" w:lineRule="auto"/>
        <w:ind w:firstLine="480"/>
        <w:rPr>
          <w:rFonts w:ascii="宋体" w:hAnsi="宋体"/>
          <w:sz w:val="24"/>
        </w:rPr>
      </w:pPr>
      <w:r w:rsidRPr="00ED15FF">
        <w:rPr>
          <w:rFonts w:ascii="宋体" w:hAnsi="宋体"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w:t>
      </w:r>
      <w:r w:rsidRPr="00ED15FF">
        <w:rPr>
          <w:rFonts w:ascii="宋体" w:hAnsi="宋体" w:hint="eastAsia"/>
          <w:sz w:val="24"/>
        </w:rPr>
        <w:lastRenderedPageBreak/>
        <w:t>低于法律法规规定的最低期限，法律法规另有规定或有权机关另有要求的除外。如不能妥善保管，则按相关法规承担责任。</w:t>
      </w:r>
    </w:p>
    <w:p w14:paraId="70109541" w14:textId="348D9FA4" w:rsidR="004F5B35" w:rsidRPr="00ED15FF" w:rsidRDefault="002D2B2F">
      <w:pPr>
        <w:tabs>
          <w:tab w:val="num" w:pos="1260"/>
        </w:tabs>
        <w:spacing w:line="360" w:lineRule="auto"/>
        <w:ind w:firstLine="480"/>
        <w:rPr>
          <w:rFonts w:ascii="宋体" w:hAnsi="宋体"/>
          <w:sz w:val="24"/>
        </w:rPr>
      </w:pPr>
      <w:r w:rsidRPr="00ED15FF">
        <w:rPr>
          <w:rFonts w:ascii="宋体" w:hAnsi="宋体" w:hint="eastAsia"/>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473ACE55" w14:textId="77777777" w:rsidR="004F5B35" w:rsidRPr="00ED15FF" w:rsidRDefault="004F5B35">
      <w:pPr>
        <w:tabs>
          <w:tab w:val="num" w:pos="1260"/>
        </w:tabs>
        <w:spacing w:line="360" w:lineRule="auto"/>
        <w:ind w:firstLine="480"/>
        <w:rPr>
          <w:rFonts w:ascii="宋体"/>
          <w:sz w:val="24"/>
        </w:rPr>
      </w:pPr>
      <w:bookmarkStart w:id="90" w:name="_Toc523830003"/>
      <w:bookmarkStart w:id="91" w:name="_Toc22454468"/>
      <w:bookmarkStart w:id="92" w:name="_Toc125892449"/>
    </w:p>
    <w:p w14:paraId="360A6620" w14:textId="77777777" w:rsidR="004F5B35" w:rsidRPr="00ED15FF" w:rsidRDefault="008C7F89">
      <w:pPr>
        <w:pStyle w:val="117"/>
      </w:pPr>
      <w:bookmarkStart w:id="93" w:name="_Toc516233753"/>
      <w:r w:rsidRPr="00ED15FF">
        <w:t>十三、基金有关文件档案的保存</w:t>
      </w:r>
      <w:bookmarkEnd w:id="85"/>
      <w:bookmarkEnd w:id="90"/>
      <w:bookmarkEnd w:id="91"/>
      <w:bookmarkEnd w:id="92"/>
      <w:bookmarkEnd w:id="93"/>
    </w:p>
    <w:p w14:paraId="47FCABE5"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基金管理人应保存基金财产管理业务活动的记录、账册、报表和其他相关资料，基金托管人应保存基金托管业务活动的记录、账册、报表和其他相关资料。</w:t>
      </w:r>
    </w:p>
    <w:p w14:paraId="435B5AF7"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基金管理人和基金托管人应按各自职责完整保存原始凭证、记账凭证、基金账册、会计报告、交易记录和重要合同等，保存期限不少于法律法规规定的最短期限。</w:t>
      </w:r>
    </w:p>
    <w:p w14:paraId="22BD895A" w14:textId="77777777" w:rsidR="004F5B35" w:rsidRPr="00ED15FF" w:rsidRDefault="008C7F89">
      <w:pPr>
        <w:tabs>
          <w:tab w:val="num" w:pos="1260"/>
        </w:tabs>
        <w:spacing w:line="360" w:lineRule="auto"/>
        <w:ind w:firstLine="480"/>
        <w:rPr>
          <w:rFonts w:ascii="宋体"/>
          <w:sz w:val="24"/>
        </w:rPr>
      </w:pPr>
      <w:r w:rsidRPr="00ED15FF">
        <w:rPr>
          <w:rFonts w:ascii="宋体" w:hAnsi="宋体" w:hint="eastAsia"/>
          <w:sz w:val="24"/>
        </w:rPr>
        <w:t>基金管理人签署重大合同文本后，应及时将合同文本正本送达基金托管人处。基金管理人应及时将与本基金账务处理、资金划拨等有关的合同、协议传真给基金托管人。</w:t>
      </w:r>
    </w:p>
    <w:p w14:paraId="5C4B1072" w14:textId="77777777" w:rsidR="004F5B35" w:rsidRPr="00ED15FF" w:rsidRDefault="008C7F89">
      <w:pPr>
        <w:tabs>
          <w:tab w:val="num" w:pos="1260"/>
        </w:tabs>
        <w:spacing w:line="360" w:lineRule="auto"/>
        <w:ind w:firstLine="480"/>
        <w:rPr>
          <w:rFonts w:ascii="宋体"/>
          <w:sz w:val="24"/>
        </w:rPr>
      </w:pPr>
      <w:r w:rsidRPr="00ED15FF">
        <w:rPr>
          <w:rFonts w:ascii="宋体" w:hAnsi="宋体"/>
          <w:sz w:val="24"/>
        </w:rPr>
        <w:t>基金管理人或基金托管人变更后，未变更的一方有义务协助接任人接收基金的有关文件。</w:t>
      </w:r>
      <w:bookmarkStart w:id="94" w:name="_Toc466788864"/>
      <w:bookmarkStart w:id="95" w:name="_Toc523830005"/>
      <w:bookmarkStart w:id="96" w:name="_Toc22454470"/>
      <w:bookmarkStart w:id="97" w:name="_Toc125892450"/>
    </w:p>
    <w:p w14:paraId="46C2BB95" w14:textId="77777777" w:rsidR="004F5B35" w:rsidRPr="00ED15FF" w:rsidRDefault="008C7F89">
      <w:pPr>
        <w:pStyle w:val="117"/>
        <w:ind w:firstLine="340"/>
      </w:pPr>
      <w:bookmarkStart w:id="98" w:name="_Toc516233754"/>
      <w:r w:rsidRPr="00ED15FF">
        <w:t>十四、基金管理人和基金托管人的更换</w:t>
      </w:r>
      <w:bookmarkStart w:id="99" w:name="_Toc22454471"/>
      <w:bookmarkStart w:id="100" w:name="_Toc77663031"/>
      <w:bookmarkEnd w:id="94"/>
      <w:bookmarkEnd w:id="95"/>
      <w:bookmarkEnd w:id="96"/>
      <w:bookmarkEnd w:id="97"/>
      <w:bookmarkEnd w:id="98"/>
    </w:p>
    <w:p w14:paraId="37A3189F"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（一）基金管理人和基金托管人职责终止的情形</w:t>
      </w:r>
    </w:p>
    <w:p w14:paraId="06F46F45"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（1）基金管理人职责终止的情形</w:t>
      </w:r>
    </w:p>
    <w:p w14:paraId="6A5D65EF" w14:textId="77777777" w:rsidR="004F5B35" w:rsidRPr="00ED15FF" w:rsidRDefault="008C7F89">
      <w:pPr>
        <w:spacing w:line="360" w:lineRule="auto"/>
        <w:ind w:firstLine="480"/>
        <w:rPr>
          <w:bCs/>
          <w:sz w:val="24"/>
        </w:rPr>
      </w:pPr>
      <w:r w:rsidRPr="00ED15FF">
        <w:rPr>
          <w:bCs/>
          <w:sz w:val="24"/>
        </w:rPr>
        <w:t>有下列情形之一的，基金管理人职责终止：</w:t>
      </w:r>
    </w:p>
    <w:p w14:paraId="1C1C60B0" w14:textId="77777777" w:rsidR="004F5B35" w:rsidRPr="00ED15FF" w:rsidRDefault="008C7F89">
      <w:pPr>
        <w:spacing w:line="360" w:lineRule="auto"/>
        <w:ind w:firstLine="425"/>
        <w:rPr>
          <w:bCs/>
          <w:sz w:val="24"/>
        </w:rPr>
      </w:pPr>
      <w:r w:rsidRPr="00ED15FF">
        <w:rPr>
          <w:bCs/>
          <w:sz w:val="24"/>
        </w:rPr>
        <w:t>1</w:t>
      </w:r>
      <w:r w:rsidRPr="00ED15FF">
        <w:rPr>
          <w:bCs/>
          <w:sz w:val="24"/>
        </w:rPr>
        <w:t>、被依法取消基金管理资格；</w:t>
      </w:r>
    </w:p>
    <w:p w14:paraId="07B5F1C5" w14:textId="77777777" w:rsidR="004F5B35" w:rsidRPr="00ED15FF" w:rsidRDefault="008C7F89">
      <w:pPr>
        <w:spacing w:line="360" w:lineRule="auto"/>
        <w:ind w:firstLine="425"/>
        <w:rPr>
          <w:bCs/>
          <w:sz w:val="24"/>
        </w:rPr>
      </w:pPr>
      <w:r w:rsidRPr="00ED15FF">
        <w:rPr>
          <w:bCs/>
          <w:sz w:val="24"/>
        </w:rPr>
        <w:t>2</w:t>
      </w:r>
      <w:r w:rsidRPr="00ED15FF">
        <w:rPr>
          <w:bCs/>
          <w:sz w:val="24"/>
        </w:rPr>
        <w:t>、被基金份额持有人大会解任；</w:t>
      </w:r>
    </w:p>
    <w:p w14:paraId="6A08BE06" w14:textId="77777777" w:rsidR="004F5B35" w:rsidRPr="00ED15FF" w:rsidRDefault="008C7F89">
      <w:pPr>
        <w:spacing w:line="360" w:lineRule="auto"/>
        <w:ind w:firstLine="425"/>
        <w:rPr>
          <w:bCs/>
          <w:sz w:val="24"/>
        </w:rPr>
      </w:pPr>
      <w:r w:rsidRPr="00ED15FF">
        <w:rPr>
          <w:bCs/>
          <w:sz w:val="24"/>
        </w:rPr>
        <w:t>3</w:t>
      </w:r>
      <w:r w:rsidRPr="00ED15FF">
        <w:rPr>
          <w:bCs/>
          <w:sz w:val="24"/>
        </w:rPr>
        <w:t>、依法解散、被依法撤销或被依法宣告破产；</w:t>
      </w:r>
    </w:p>
    <w:p w14:paraId="6C6ED381" w14:textId="77777777" w:rsidR="004F5B35" w:rsidRPr="00ED15FF" w:rsidRDefault="008C7F89">
      <w:pPr>
        <w:spacing w:line="360" w:lineRule="auto"/>
        <w:ind w:firstLine="425"/>
        <w:rPr>
          <w:rFonts w:ascii="宋体" w:hAnsi="宋体"/>
          <w:bCs/>
          <w:sz w:val="24"/>
        </w:rPr>
      </w:pPr>
      <w:r w:rsidRPr="00ED15FF">
        <w:rPr>
          <w:bCs/>
          <w:sz w:val="24"/>
        </w:rPr>
        <w:t>4</w:t>
      </w:r>
      <w:r w:rsidRPr="00ED15FF">
        <w:rPr>
          <w:bCs/>
          <w:sz w:val="24"/>
        </w:rPr>
        <w:t>、</w:t>
      </w:r>
      <w:r w:rsidRPr="00ED15FF">
        <w:rPr>
          <w:rFonts w:hint="eastAsia"/>
          <w:bCs/>
          <w:sz w:val="24"/>
        </w:rPr>
        <w:t>法律法规及中国证监会规定的和《基金合同》约定的其他</w:t>
      </w:r>
      <w:r w:rsidRPr="00ED15FF">
        <w:rPr>
          <w:bCs/>
          <w:sz w:val="24"/>
        </w:rPr>
        <w:t>情形。</w:t>
      </w:r>
    </w:p>
    <w:p w14:paraId="72B4E835"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（2）基金托管人职责终止的情形</w:t>
      </w:r>
    </w:p>
    <w:p w14:paraId="213D2C45"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lastRenderedPageBreak/>
        <w:t>有下列情形之一的，基金托管人职责终止：</w:t>
      </w:r>
    </w:p>
    <w:p w14:paraId="42D82603"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1、被依法取消基金托管资格；</w:t>
      </w:r>
    </w:p>
    <w:p w14:paraId="79371DD9"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2、被基金份额持有人大会解任；</w:t>
      </w:r>
    </w:p>
    <w:p w14:paraId="52810917"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3、依法解散、被依法撤销或被依法宣告破产；</w:t>
      </w:r>
    </w:p>
    <w:p w14:paraId="3B46898D"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4、法律法规及中国证监会规定的和《基金合同》约定的其他情形。</w:t>
      </w:r>
    </w:p>
    <w:p w14:paraId="1C17CA08"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（二）基金管理人和基金托管人的更换程序</w:t>
      </w:r>
    </w:p>
    <w:p w14:paraId="57AE4648"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（1）基金管理人的更换程序</w:t>
      </w:r>
    </w:p>
    <w:p w14:paraId="53CB2CE5" w14:textId="77777777" w:rsidR="004F5B35" w:rsidRPr="00ED15FF" w:rsidRDefault="008C7F89">
      <w:pPr>
        <w:spacing w:line="360" w:lineRule="auto"/>
        <w:ind w:firstLine="480"/>
        <w:rPr>
          <w:bCs/>
          <w:sz w:val="24"/>
        </w:rPr>
      </w:pPr>
      <w:r w:rsidRPr="00ED15FF">
        <w:rPr>
          <w:bCs/>
          <w:sz w:val="24"/>
        </w:rPr>
        <w:t>1</w:t>
      </w:r>
      <w:r w:rsidRPr="00ED15FF">
        <w:rPr>
          <w:bCs/>
          <w:sz w:val="24"/>
        </w:rPr>
        <w:t>、提名：新任基金管理人由基金托管人或由单独或合计持有</w:t>
      </w:r>
      <w:r w:rsidRPr="00ED15FF">
        <w:rPr>
          <w:rFonts w:hint="eastAsia"/>
          <w:bCs/>
          <w:sz w:val="24"/>
        </w:rPr>
        <w:t>10%</w:t>
      </w:r>
      <w:r w:rsidRPr="00ED15FF">
        <w:rPr>
          <w:bCs/>
          <w:sz w:val="24"/>
        </w:rPr>
        <w:t>以上（含</w:t>
      </w:r>
      <w:r w:rsidRPr="00ED15FF">
        <w:rPr>
          <w:rFonts w:hint="eastAsia"/>
          <w:bCs/>
          <w:sz w:val="24"/>
        </w:rPr>
        <w:t>10%</w:t>
      </w:r>
      <w:r w:rsidRPr="00ED15FF">
        <w:rPr>
          <w:bCs/>
          <w:sz w:val="24"/>
        </w:rPr>
        <w:t>）基金份额的基金份额持有人提名；</w:t>
      </w:r>
    </w:p>
    <w:p w14:paraId="348626E2" w14:textId="77777777" w:rsidR="004F5B35" w:rsidRPr="00ED15FF" w:rsidRDefault="008C7F89">
      <w:pPr>
        <w:spacing w:line="360" w:lineRule="auto"/>
        <w:ind w:firstLine="480"/>
        <w:rPr>
          <w:bCs/>
          <w:sz w:val="24"/>
        </w:rPr>
      </w:pPr>
      <w:r w:rsidRPr="00ED15FF">
        <w:rPr>
          <w:bCs/>
          <w:sz w:val="24"/>
        </w:rPr>
        <w:t>2</w:t>
      </w:r>
      <w:r w:rsidRPr="00ED15FF">
        <w:rPr>
          <w:bCs/>
          <w:sz w:val="24"/>
        </w:rPr>
        <w:t>、决议：基金份额持有人大会在基金管理人职责终止后</w:t>
      </w:r>
      <w:r w:rsidRPr="00ED15FF">
        <w:rPr>
          <w:rFonts w:hint="eastAsia"/>
          <w:bCs/>
          <w:sz w:val="24"/>
        </w:rPr>
        <w:t>6</w:t>
      </w:r>
      <w:r w:rsidRPr="00ED15FF">
        <w:rPr>
          <w:bCs/>
          <w:sz w:val="24"/>
        </w:rPr>
        <w:t>个月内对被提名的基金管理人形成决议，该决议需经参加大会的基金份额持有人所持表决权的</w:t>
      </w:r>
      <w:r w:rsidRPr="00ED15FF">
        <w:rPr>
          <w:rFonts w:hint="eastAsia"/>
          <w:bCs/>
          <w:sz w:val="24"/>
        </w:rPr>
        <w:t>三分之二</w:t>
      </w:r>
      <w:r w:rsidRPr="00ED15FF">
        <w:rPr>
          <w:bCs/>
          <w:sz w:val="24"/>
        </w:rPr>
        <w:t>以上（含</w:t>
      </w:r>
      <w:r w:rsidRPr="00ED15FF">
        <w:rPr>
          <w:rFonts w:hint="eastAsia"/>
          <w:bCs/>
          <w:sz w:val="24"/>
        </w:rPr>
        <w:t>三分之二</w:t>
      </w:r>
      <w:r w:rsidRPr="00ED15FF">
        <w:rPr>
          <w:bCs/>
          <w:sz w:val="24"/>
        </w:rPr>
        <w:t>）表决通过</w:t>
      </w:r>
      <w:r w:rsidRPr="00ED15FF">
        <w:rPr>
          <w:rFonts w:hint="eastAsia"/>
          <w:bCs/>
          <w:sz w:val="24"/>
        </w:rPr>
        <w:t>，决议自表决通过之日起生效</w:t>
      </w:r>
      <w:r w:rsidRPr="00ED15FF">
        <w:rPr>
          <w:bCs/>
          <w:sz w:val="24"/>
        </w:rPr>
        <w:t>；</w:t>
      </w:r>
    </w:p>
    <w:p w14:paraId="198E6FD7" w14:textId="77777777" w:rsidR="004F5B35" w:rsidRPr="00ED15FF" w:rsidRDefault="008C7F89">
      <w:pPr>
        <w:spacing w:line="360" w:lineRule="auto"/>
        <w:ind w:firstLine="480"/>
        <w:rPr>
          <w:bCs/>
          <w:sz w:val="24"/>
        </w:rPr>
      </w:pPr>
      <w:r w:rsidRPr="00ED15FF">
        <w:rPr>
          <w:bCs/>
          <w:sz w:val="24"/>
        </w:rPr>
        <w:t>3</w:t>
      </w:r>
      <w:r w:rsidRPr="00ED15FF">
        <w:rPr>
          <w:bCs/>
          <w:sz w:val="24"/>
        </w:rPr>
        <w:t>、临时基金管理人：新任基金管理人产生之前，由中国证监会指定临时基金管理人；</w:t>
      </w:r>
    </w:p>
    <w:p w14:paraId="08654661" w14:textId="77777777" w:rsidR="004F5B35" w:rsidRPr="00ED15FF" w:rsidRDefault="008C7F89">
      <w:pPr>
        <w:spacing w:line="360" w:lineRule="auto"/>
        <w:ind w:firstLine="480"/>
        <w:rPr>
          <w:bCs/>
          <w:sz w:val="24"/>
        </w:rPr>
      </w:pPr>
      <w:r w:rsidRPr="00ED15FF">
        <w:rPr>
          <w:bCs/>
          <w:sz w:val="24"/>
        </w:rPr>
        <w:t>4</w:t>
      </w:r>
      <w:r w:rsidRPr="00ED15FF">
        <w:rPr>
          <w:bCs/>
          <w:sz w:val="24"/>
        </w:rPr>
        <w:t>、</w:t>
      </w:r>
      <w:r w:rsidRPr="00ED15FF">
        <w:rPr>
          <w:rFonts w:hint="eastAsia"/>
          <w:bCs/>
          <w:sz w:val="24"/>
        </w:rPr>
        <w:t>备案</w:t>
      </w:r>
      <w:r w:rsidRPr="00ED15FF">
        <w:rPr>
          <w:bCs/>
          <w:sz w:val="24"/>
        </w:rPr>
        <w:t>：</w:t>
      </w:r>
      <w:r w:rsidRPr="00ED15FF">
        <w:rPr>
          <w:rFonts w:hint="eastAsia"/>
          <w:bCs/>
          <w:sz w:val="24"/>
        </w:rPr>
        <w:t>基金份额持有人大会更换基金管理人的决议须报中国证监会备案</w:t>
      </w:r>
      <w:r w:rsidRPr="00ED15FF">
        <w:rPr>
          <w:bCs/>
          <w:sz w:val="24"/>
        </w:rPr>
        <w:t>；</w:t>
      </w:r>
    </w:p>
    <w:p w14:paraId="30499E5A" w14:textId="77777777" w:rsidR="004F5B35" w:rsidRPr="00ED15FF" w:rsidRDefault="008C7F89">
      <w:pPr>
        <w:spacing w:line="360" w:lineRule="auto"/>
        <w:ind w:firstLine="480"/>
        <w:rPr>
          <w:bCs/>
          <w:sz w:val="24"/>
        </w:rPr>
      </w:pPr>
      <w:r w:rsidRPr="00ED15FF">
        <w:rPr>
          <w:bCs/>
          <w:sz w:val="24"/>
        </w:rPr>
        <w:t>5</w:t>
      </w:r>
      <w:r w:rsidRPr="00ED15FF">
        <w:rPr>
          <w:bCs/>
          <w:sz w:val="24"/>
        </w:rPr>
        <w:t>、公告：基金管理人更换后，由基金托管人在</w:t>
      </w:r>
      <w:r w:rsidRPr="00ED15FF">
        <w:rPr>
          <w:rFonts w:hint="eastAsia"/>
          <w:bCs/>
          <w:sz w:val="24"/>
        </w:rPr>
        <w:t>更换基金管理人的基金份额持有人大会决议生效</w:t>
      </w:r>
      <w:r w:rsidRPr="00ED15FF">
        <w:rPr>
          <w:bCs/>
          <w:sz w:val="24"/>
        </w:rPr>
        <w:t>后</w:t>
      </w:r>
      <w:r w:rsidRPr="00ED15FF">
        <w:rPr>
          <w:bCs/>
          <w:sz w:val="24"/>
        </w:rPr>
        <w:t>2</w:t>
      </w:r>
      <w:r w:rsidRPr="00ED15FF">
        <w:rPr>
          <w:bCs/>
          <w:sz w:val="24"/>
        </w:rPr>
        <w:t>日内在</w:t>
      </w:r>
      <w:r w:rsidRPr="00ED15FF">
        <w:rPr>
          <w:rFonts w:hint="eastAsia"/>
          <w:bCs/>
          <w:sz w:val="24"/>
        </w:rPr>
        <w:t>规定媒介</w:t>
      </w:r>
      <w:r w:rsidRPr="00ED15FF">
        <w:rPr>
          <w:bCs/>
          <w:sz w:val="24"/>
        </w:rPr>
        <w:t>公告</w:t>
      </w:r>
      <w:r w:rsidRPr="00ED15FF">
        <w:rPr>
          <w:rFonts w:hint="eastAsia"/>
          <w:bCs/>
          <w:sz w:val="24"/>
        </w:rPr>
        <w:t>；</w:t>
      </w:r>
    </w:p>
    <w:p w14:paraId="134CB57E" w14:textId="77777777" w:rsidR="004F5B35" w:rsidRPr="00ED15FF" w:rsidRDefault="008C7F89">
      <w:pPr>
        <w:spacing w:line="360" w:lineRule="auto"/>
        <w:ind w:firstLine="480"/>
        <w:rPr>
          <w:bCs/>
          <w:sz w:val="24"/>
        </w:rPr>
      </w:pPr>
      <w:r w:rsidRPr="00ED15FF">
        <w:rPr>
          <w:bCs/>
          <w:sz w:val="24"/>
        </w:rPr>
        <w:t>6</w:t>
      </w:r>
      <w:r w:rsidRPr="00ED15FF">
        <w:rPr>
          <w:bCs/>
          <w:sz w:val="24"/>
        </w:rPr>
        <w:t>、交接：基金管理人职责终止的，</w:t>
      </w:r>
      <w:r w:rsidRPr="00ED15FF">
        <w:rPr>
          <w:rFonts w:hint="eastAsia"/>
          <w:bCs/>
          <w:sz w:val="24"/>
        </w:rPr>
        <w:t>原</w:t>
      </w:r>
      <w:r w:rsidRPr="00ED15FF">
        <w:rPr>
          <w:bCs/>
          <w:sz w:val="24"/>
        </w:rPr>
        <w:t>基金管理人应妥善保管基金管理业务资料，及时向临时基金管理人或新任基金管理人办理基金管理业务的移交手续，临时基金管理人或新任基金管理人应及时接收。新任基金管理人</w:t>
      </w:r>
      <w:r w:rsidRPr="00ED15FF">
        <w:rPr>
          <w:rFonts w:hint="eastAsia"/>
          <w:bCs/>
          <w:sz w:val="24"/>
        </w:rPr>
        <w:t>或临时基金管理人</w:t>
      </w:r>
      <w:r w:rsidRPr="00ED15FF">
        <w:rPr>
          <w:bCs/>
          <w:sz w:val="24"/>
        </w:rPr>
        <w:t>应与基金托管人核对基金资产总值</w:t>
      </w:r>
      <w:r w:rsidRPr="00ED15FF">
        <w:rPr>
          <w:rFonts w:hint="eastAsia"/>
          <w:bCs/>
          <w:sz w:val="24"/>
        </w:rPr>
        <w:t>和净值</w:t>
      </w:r>
      <w:r w:rsidRPr="00ED15FF">
        <w:rPr>
          <w:bCs/>
          <w:sz w:val="24"/>
        </w:rPr>
        <w:t>；</w:t>
      </w:r>
    </w:p>
    <w:p w14:paraId="00DB719A" w14:textId="1D042583" w:rsidR="004F5B35" w:rsidRPr="00ED15FF" w:rsidRDefault="008C7F89">
      <w:pPr>
        <w:spacing w:line="360" w:lineRule="auto"/>
        <w:ind w:firstLine="480"/>
        <w:rPr>
          <w:bCs/>
          <w:sz w:val="24"/>
        </w:rPr>
      </w:pPr>
      <w:r w:rsidRPr="00ED15FF">
        <w:rPr>
          <w:bCs/>
          <w:sz w:val="24"/>
        </w:rPr>
        <w:t>7</w:t>
      </w:r>
      <w:r w:rsidRPr="00ED15FF">
        <w:rPr>
          <w:bCs/>
          <w:sz w:val="24"/>
        </w:rPr>
        <w:t>、审计：基金管理人职责终止的，应当按照法律法规规定聘请</w:t>
      </w:r>
      <w:r w:rsidRPr="00ED15FF">
        <w:rPr>
          <w:rFonts w:hint="eastAsia"/>
          <w:bCs/>
          <w:sz w:val="24"/>
        </w:rPr>
        <w:t>符合《中华人民共和国证券法》规定的</w:t>
      </w:r>
      <w:r w:rsidRPr="00ED15FF">
        <w:rPr>
          <w:bCs/>
          <w:sz w:val="24"/>
        </w:rPr>
        <w:t>会计师事务所对基金财产进行审计，并将审计结果予以公告，同时报中国证监会备案</w:t>
      </w:r>
      <w:r w:rsidRPr="00ED15FF">
        <w:rPr>
          <w:rFonts w:hint="eastAsia"/>
          <w:bCs/>
          <w:sz w:val="24"/>
        </w:rPr>
        <w:t>，审计费由基金财产承担</w:t>
      </w:r>
      <w:r w:rsidRPr="00ED15FF">
        <w:rPr>
          <w:bCs/>
          <w:sz w:val="24"/>
        </w:rPr>
        <w:t>；</w:t>
      </w:r>
    </w:p>
    <w:p w14:paraId="7DA1D7B7" w14:textId="77777777" w:rsidR="004F5B35" w:rsidRPr="00ED15FF" w:rsidRDefault="008C7F89">
      <w:pPr>
        <w:spacing w:line="360" w:lineRule="auto"/>
        <w:ind w:left="1" w:firstLine="389"/>
        <w:rPr>
          <w:rFonts w:ascii="宋体" w:hAnsi="宋体"/>
          <w:bCs/>
          <w:sz w:val="24"/>
        </w:rPr>
      </w:pPr>
      <w:r w:rsidRPr="00ED15FF">
        <w:rPr>
          <w:bCs/>
          <w:sz w:val="24"/>
        </w:rPr>
        <w:t>8</w:t>
      </w:r>
      <w:r w:rsidRPr="00ED15FF">
        <w:rPr>
          <w:bCs/>
          <w:sz w:val="24"/>
        </w:rPr>
        <w:t>、基金名称变更：基金管理人更换后，如果原任或新任基金管理人要求，应按其要求替换或删除基金名称中与原基金管理人有关的名称字样。</w:t>
      </w:r>
    </w:p>
    <w:p w14:paraId="44DD7F38"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（2）基金托管人的更换程序</w:t>
      </w:r>
    </w:p>
    <w:p w14:paraId="00665067"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1、提名：新任基金托管人由基金管理人或由单独或合计持有10%以上（含</w:t>
      </w:r>
      <w:r w:rsidRPr="00ED15FF">
        <w:rPr>
          <w:rFonts w:ascii="宋体" w:hAnsi="宋体" w:hint="eastAsia"/>
          <w:bCs/>
          <w:sz w:val="24"/>
        </w:rPr>
        <w:lastRenderedPageBreak/>
        <w:t>10%）基金份额的基金份额持有人提名；</w:t>
      </w:r>
    </w:p>
    <w:p w14:paraId="702736B6"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2B6AE645"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3、临时基金托管人：新任基金托管人产生之前，由中国证监会指定临时基金托管人；</w:t>
      </w:r>
    </w:p>
    <w:p w14:paraId="3F10BA8F"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4、备案：基金份额持有人大会更换基金托管人的决议须报中国证监会备案；</w:t>
      </w:r>
    </w:p>
    <w:p w14:paraId="7FD1E373"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5、公告：基金托管人更换后，由基金管理人在更换基金托管人的基金份额持有人大会决议生效后2日内在规定媒介公告；</w:t>
      </w:r>
    </w:p>
    <w:p w14:paraId="320FBB5F" w14:textId="431FCEC2" w:rsidR="004F5B35" w:rsidRPr="00ED15FF" w:rsidRDefault="008C7F89">
      <w:pPr>
        <w:spacing w:line="360" w:lineRule="auto"/>
        <w:ind w:left="1" w:firstLine="389"/>
        <w:rPr>
          <w:rFonts w:ascii="宋体" w:hAnsi="宋体"/>
          <w:bCs/>
          <w:sz w:val="24"/>
        </w:rPr>
      </w:pPr>
      <w:r w:rsidRPr="00ED15FF">
        <w:rPr>
          <w:rFonts w:ascii="宋体" w:hAnsi="宋体" w:hint="eastAsia"/>
          <w:bCs/>
          <w:sz w:val="24"/>
        </w:rPr>
        <w:t>6、交接：基金托管人职责终止的，</w:t>
      </w:r>
      <w:r w:rsidRPr="00ED15FF">
        <w:rPr>
          <w:rFonts w:hint="eastAsia"/>
          <w:bCs/>
          <w:sz w:val="24"/>
        </w:rPr>
        <w:t>原基金托管人应当妥善保管基金财产和基金托管业务资料，及时向临时基金托管人或新任基金托管人办理基金财产和基金托管业务的移交手续，新任基金托管人或者临时基金托管人应当及时接收</w:t>
      </w:r>
      <w:r w:rsidRPr="00ED15FF">
        <w:rPr>
          <w:rFonts w:ascii="宋体" w:hAnsi="宋体" w:hint="eastAsia"/>
          <w:bCs/>
          <w:sz w:val="24"/>
        </w:rPr>
        <w:t>。新任基金托管人或临时基金托管人应与基金管理人核对基金资产总值和净值；</w:t>
      </w:r>
    </w:p>
    <w:p w14:paraId="20940A73" w14:textId="1298988B" w:rsidR="004F5B35" w:rsidRPr="00ED15FF" w:rsidRDefault="008C7F89">
      <w:pPr>
        <w:spacing w:line="360" w:lineRule="auto"/>
        <w:ind w:left="1" w:firstLine="389"/>
        <w:rPr>
          <w:rFonts w:ascii="宋体" w:hAnsi="宋体"/>
          <w:bCs/>
          <w:sz w:val="24"/>
        </w:rPr>
      </w:pPr>
      <w:r w:rsidRPr="00ED15FF">
        <w:rPr>
          <w:rFonts w:ascii="宋体" w:hAnsi="宋体" w:hint="eastAsia"/>
          <w:bCs/>
          <w:sz w:val="24"/>
        </w:rPr>
        <w:t>7、审计：基金托管人职责终止的，</w:t>
      </w:r>
      <w:r w:rsidRPr="00ED15FF">
        <w:rPr>
          <w:bCs/>
          <w:sz w:val="24"/>
        </w:rPr>
        <w:t>应当按照法律法规规定聘请</w:t>
      </w:r>
      <w:r w:rsidRPr="00ED15FF">
        <w:rPr>
          <w:rFonts w:hint="eastAsia"/>
          <w:bCs/>
          <w:sz w:val="24"/>
        </w:rPr>
        <w:t>符合《中华人民共和国证券法》规定的</w:t>
      </w:r>
      <w:r w:rsidRPr="00ED15FF">
        <w:rPr>
          <w:bCs/>
          <w:sz w:val="24"/>
        </w:rPr>
        <w:t>会计师事务所对基金财产进行审计</w:t>
      </w:r>
      <w:r w:rsidRPr="00ED15FF">
        <w:rPr>
          <w:rFonts w:ascii="宋体" w:hAnsi="宋体" w:hint="eastAsia"/>
          <w:bCs/>
          <w:sz w:val="24"/>
        </w:rPr>
        <w:t>，并将审计结果予以公告，同时报中国证监会备案，</w:t>
      </w:r>
      <w:r w:rsidRPr="00ED15FF">
        <w:rPr>
          <w:rFonts w:hint="eastAsia"/>
          <w:bCs/>
          <w:sz w:val="24"/>
        </w:rPr>
        <w:t>审计费由基金财产承担</w:t>
      </w:r>
      <w:r w:rsidRPr="00ED15FF">
        <w:rPr>
          <w:rFonts w:ascii="宋体" w:hAnsi="宋体" w:hint="eastAsia"/>
          <w:bCs/>
          <w:sz w:val="24"/>
        </w:rPr>
        <w:t>。</w:t>
      </w:r>
    </w:p>
    <w:p w14:paraId="6A619692"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（3）基金管理人与基金托管人同时更换的条件和程序</w:t>
      </w:r>
    </w:p>
    <w:p w14:paraId="3CDA531A"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1、提名：如果基金管理人和基金托管人同时更换，由单独或合计持有基金总份额10%以上（含10%）的基金份额持有人提名新的基金管理人和基金托管人；</w:t>
      </w:r>
    </w:p>
    <w:p w14:paraId="1EB2F426"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2、基金管理人和基金托管人的更换分别按上述程序进行；</w:t>
      </w:r>
    </w:p>
    <w:p w14:paraId="524D1844" w14:textId="77777777" w:rsidR="004F5B35" w:rsidRPr="00ED15FF" w:rsidRDefault="008C7F89">
      <w:pPr>
        <w:spacing w:line="360" w:lineRule="auto"/>
        <w:ind w:left="1" w:firstLine="389"/>
        <w:rPr>
          <w:rFonts w:ascii="宋体" w:hAnsi="宋体"/>
          <w:bCs/>
          <w:sz w:val="24"/>
        </w:rPr>
      </w:pPr>
      <w:r w:rsidRPr="00ED15FF">
        <w:rPr>
          <w:rFonts w:ascii="宋体" w:hAnsi="宋体" w:hint="eastAsia"/>
          <w:bCs/>
          <w:sz w:val="24"/>
        </w:rPr>
        <w:t>3、公告：新任基金管理人和新任基金托管人应在更换基金管理人和基金托管人的基金份额持有人大会决议生效后2日内在规定媒介上联合公告。</w:t>
      </w:r>
    </w:p>
    <w:p w14:paraId="72A8C6F6" w14:textId="19777062" w:rsidR="004F5B35" w:rsidRPr="00ED15FF" w:rsidRDefault="008C7F89">
      <w:pPr>
        <w:spacing w:line="360" w:lineRule="auto"/>
        <w:ind w:left="1" w:firstLine="389"/>
        <w:rPr>
          <w:rFonts w:ascii="宋体"/>
          <w:sz w:val="24"/>
        </w:rPr>
      </w:pPr>
      <w:r w:rsidRPr="00ED15FF">
        <w:rPr>
          <w:rFonts w:ascii="宋体" w:hAnsi="宋体" w:hint="eastAsia"/>
          <w:bCs/>
          <w:sz w:val="24"/>
        </w:rPr>
        <w:t>（三）新任基金管理人或临时基金管理人接收基金管理业务，或新任基金托管人或临时基金托管人接收基金财产和基金托管业务前，</w:t>
      </w:r>
      <w:r w:rsidRPr="00ED15FF">
        <w:rPr>
          <w:rFonts w:hint="eastAsia"/>
          <w:bCs/>
          <w:sz w:val="24"/>
        </w:rPr>
        <w:t>原基金管理人或原基金托管人应继续履行相关职责</w:t>
      </w:r>
      <w:r w:rsidRPr="00ED15FF">
        <w:rPr>
          <w:rFonts w:ascii="宋体" w:hAnsi="宋体" w:hint="eastAsia"/>
          <w:bCs/>
          <w:sz w:val="24"/>
        </w:rPr>
        <w:t>，并保证不做出对基金份额持有人的利益造成损害的行为。原基金管理人或原基金</w:t>
      </w:r>
      <w:r w:rsidRPr="00ED15FF">
        <w:rPr>
          <w:rFonts w:ascii="宋体" w:hAnsi="宋体"/>
          <w:bCs/>
          <w:sz w:val="24"/>
        </w:rPr>
        <w:t>托管人在继续履行相关职责期间，仍有权按照基金合同的规定收取基金管理费或基金托管费。</w:t>
      </w:r>
      <w:bookmarkStart w:id="101" w:name="_Toc466788866"/>
      <w:bookmarkStart w:id="102" w:name="_Toc523830007"/>
      <w:bookmarkStart w:id="103" w:name="_Toc22454478"/>
      <w:bookmarkStart w:id="104" w:name="_Toc125892451"/>
      <w:bookmarkEnd w:id="99"/>
      <w:bookmarkEnd w:id="100"/>
    </w:p>
    <w:p w14:paraId="4FE5B889" w14:textId="77777777" w:rsidR="004F5B35" w:rsidRPr="00ED15FF" w:rsidRDefault="008C7F89">
      <w:pPr>
        <w:pStyle w:val="117"/>
      </w:pPr>
      <w:bookmarkStart w:id="105" w:name="_Toc516233755"/>
      <w:r w:rsidRPr="00ED15FF">
        <w:lastRenderedPageBreak/>
        <w:t>十五、禁止行为</w:t>
      </w:r>
      <w:bookmarkEnd w:id="101"/>
      <w:bookmarkEnd w:id="102"/>
      <w:bookmarkEnd w:id="103"/>
      <w:bookmarkEnd w:id="104"/>
      <w:bookmarkEnd w:id="105"/>
    </w:p>
    <w:p w14:paraId="3AE552A3" w14:textId="77777777" w:rsidR="004F5B35" w:rsidRPr="00ED15FF" w:rsidRDefault="008C7F89">
      <w:pPr>
        <w:spacing w:line="360" w:lineRule="auto"/>
        <w:ind w:firstLine="480"/>
        <w:rPr>
          <w:rFonts w:ascii="宋体"/>
          <w:sz w:val="24"/>
        </w:rPr>
      </w:pPr>
      <w:r w:rsidRPr="00ED15FF">
        <w:rPr>
          <w:rFonts w:ascii="宋体" w:hAnsi="宋体" w:hint="eastAsia"/>
          <w:sz w:val="24"/>
        </w:rPr>
        <w:t>本协议当事人禁止从事的行为，包括但不限于如下：</w:t>
      </w:r>
    </w:p>
    <w:p w14:paraId="0A9FFC27" w14:textId="53CB8FAB"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（一）《基金法》禁止的行为。</w:t>
      </w:r>
    </w:p>
    <w:p w14:paraId="36991BD7" w14:textId="43537BB9"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（二）除非法律法规及中国证监会另有规定，托管协议当事人用基金财产从事《基金法》第七十三条禁止的投资或活动。</w:t>
      </w:r>
    </w:p>
    <w:p w14:paraId="2ACDDF5F" w14:textId="74BE318F"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（三）除《基金法》及其他有关法规、《基金合同》及中国证监会另有规定，基金管理人、基金托管人利用基金财产或职务之便为自身和任何第三人谋取利益。</w:t>
      </w:r>
    </w:p>
    <w:p w14:paraId="36FF184D" w14:textId="3F80347C"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（四）基金管理人与基金托管人对基金运作过程中任何尚未按有关法规规定的方式公开披露的信息，对他人泄露。</w:t>
      </w:r>
    </w:p>
    <w:p w14:paraId="7354252D" w14:textId="346A4480"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（五）基金管理人在资金头寸不足的情况下，向基金托管人发送划款指令。</w:t>
      </w:r>
    </w:p>
    <w:p w14:paraId="7E231C11" w14:textId="6BD2B8F7"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（六）在资金头寸充足且为基金托管人执行指令留出足够时间的情况下，基金托管人对基金管理人符合法律法规、《基金合同》、本协议的指令拖延或拒绝执行。</w:t>
      </w:r>
    </w:p>
    <w:p w14:paraId="23F8A799" w14:textId="0E0ECD1A"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（七）除根据基金管理人指令或《基金合同》另有规定的，基金托管人动用或处分基金财产。</w:t>
      </w:r>
    </w:p>
    <w:p w14:paraId="15424FF5" w14:textId="5538C2F6"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（八）基金管理人与基金托管人为同一机构，相互出资或者持有股份。基金托管人、基金管理人在行政上、财务上不互相独立，其高级基金管理人员或其他从业人员相互兼职。</w:t>
      </w:r>
    </w:p>
    <w:p w14:paraId="2C022666" w14:textId="77777777"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（九）《基金合同》投资限制中禁止投资的行为。</w:t>
      </w:r>
    </w:p>
    <w:p w14:paraId="6987D9F7" w14:textId="77777777" w:rsidR="004F5B35" w:rsidRPr="00ED15FF" w:rsidRDefault="008C7F89">
      <w:pPr>
        <w:tabs>
          <w:tab w:val="left" w:pos="3780"/>
        </w:tabs>
        <w:spacing w:line="360" w:lineRule="auto"/>
        <w:outlineLvl w:val="0"/>
        <w:rPr>
          <w:rFonts w:ascii="宋体"/>
          <w:bCs/>
          <w:sz w:val="24"/>
        </w:rPr>
      </w:pPr>
      <w:r w:rsidRPr="00ED15FF">
        <w:rPr>
          <w:rFonts w:ascii="宋体" w:hAnsi="宋体" w:hint="eastAsia"/>
          <w:bCs/>
          <w:sz w:val="24"/>
        </w:rPr>
        <w:t>（十）法律法规、《基金合同》和本协议禁止的其他行为。</w:t>
      </w:r>
    </w:p>
    <w:p w14:paraId="1BC1BA71"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Cs/>
          <w:sz w:val="24"/>
        </w:rPr>
        <w:t>法律、行政法规或监管部门取消或变更上述禁止性规定，如适用于本基金，基金管理人在履行适当程序后，则本基金投资不再受相关限制或按变更后的规定执行。</w:t>
      </w:r>
    </w:p>
    <w:p w14:paraId="721A2F21" w14:textId="77777777" w:rsidR="004F5B35" w:rsidRPr="00ED15FF" w:rsidRDefault="008C7F89">
      <w:pPr>
        <w:pStyle w:val="117"/>
      </w:pPr>
      <w:bookmarkStart w:id="106" w:name="_Toc125892452"/>
      <w:bookmarkStart w:id="107" w:name="_Toc516233756"/>
      <w:bookmarkStart w:id="108" w:name="_Toc466788867"/>
      <w:bookmarkStart w:id="109" w:name="_Toc523830008"/>
      <w:bookmarkStart w:id="110" w:name="_Toc22454479"/>
      <w:r w:rsidRPr="00ED15FF">
        <w:t>十六、基金托管协议的变更、终止与基金财产的清算</w:t>
      </w:r>
      <w:bookmarkEnd w:id="106"/>
      <w:bookmarkEnd w:id="107"/>
    </w:p>
    <w:p w14:paraId="718EFA06" w14:textId="77777777" w:rsidR="004F5B35" w:rsidRPr="00ED15FF" w:rsidRDefault="008C7F89">
      <w:pPr>
        <w:tabs>
          <w:tab w:val="left" w:pos="3780"/>
        </w:tabs>
        <w:spacing w:line="360" w:lineRule="auto"/>
        <w:outlineLvl w:val="0"/>
        <w:rPr>
          <w:rFonts w:ascii="宋体"/>
          <w:b/>
          <w:bCs/>
          <w:sz w:val="24"/>
        </w:rPr>
      </w:pPr>
      <w:bookmarkStart w:id="111" w:name="_Toc510842757"/>
      <w:r w:rsidRPr="00ED15FF">
        <w:rPr>
          <w:rFonts w:ascii="宋体" w:hAnsi="宋体"/>
          <w:b/>
          <w:bCs/>
          <w:sz w:val="24"/>
        </w:rPr>
        <w:t>（一）基金托管协议的变更</w:t>
      </w:r>
      <w:bookmarkEnd w:id="111"/>
    </w:p>
    <w:p w14:paraId="151AADE5" w14:textId="77777777" w:rsidR="004F5B35" w:rsidRPr="00ED15FF" w:rsidRDefault="008C7F89">
      <w:pPr>
        <w:spacing w:line="360" w:lineRule="auto"/>
        <w:ind w:firstLine="480"/>
        <w:rPr>
          <w:rFonts w:ascii="宋体"/>
          <w:sz w:val="24"/>
        </w:rPr>
      </w:pPr>
      <w:r w:rsidRPr="00ED15FF">
        <w:rPr>
          <w:rFonts w:ascii="宋体" w:hAnsi="宋体" w:hint="eastAsia"/>
          <w:sz w:val="24"/>
        </w:rPr>
        <w:t>本协议双方当事人经协商一致，可以对协议进行修改。修改后的新协议，其内容不得与《基金合同》的规定有任何冲突。修改后的新协议，应报中国证监会备案。</w:t>
      </w:r>
    </w:p>
    <w:p w14:paraId="3B8DEB74" w14:textId="77777777" w:rsidR="004F5B35" w:rsidRPr="00ED15FF" w:rsidRDefault="008C7F89">
      <w:pPr>
        <w:tabs>
          <w:tab w:val="left" w:pos="3780"/>
        </w:tabs>
        <w:spacing w:line="360" w:lineRule="auto"/>
        <w:outlineLvl w:val="0"/>
        <w:rPr>
          <w:rFonts w:ascii="宋体"/>
          <w:b/>
          <w:bCs/>
          <w:sz w:val="24"/>
        </w:rPr>
      </w:pPr>
      <w:r w:rsidRPr="00ED15FF">
        <w:rPr>
          <w:rFonts w:ascii="宋体" w:hAnsi="宋体" w:hint="eastAsia"/>
          <w:b/>
          <w:bCs/>
          <w:sz w:val="24"/>
        </w:rPr>
        <w:lastRenderedPageBreak/>
        <w:t>（二）基金托管协议的终止</w:t>
      </w:r>
    </w:p>
    <w:p w14:paraId="4E8EA2FF"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）《基金合同》终止；</w:t>
      </w:r>
    </w:p>
    <w:p w14:paraId="510FF304"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）基金托管人解散、依法被撤销、破产，被依法取消基金托管资格或因其他事由造成其他基金托管人接管基金财产；</w:t>
      </w:r>
    </w:p>
    <w:p w14:paraId="6BEACD3F"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）基金管理人解散、依法被撤销、破产，被依法取消基金管理资格或因其他事由造成其他基金管理人接管基金管理权；</w:t>
      </w:r>
    </w:p>
    <w:p w14:paraId="29D0E033"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4</w:t>
      </w:r>
      <w:r w:rsidRPr="00ED15FF">
        <w:rPr>
          <w:rFonts w:ascii="宋体" w:hAnsi="宋体" w:hint="eastAsia"/>
          <w:sz w:val="24"/>
        </w:rPr>
        <w:t>）发生《基金法》、《销售办法》、《运作办法》或其他法律法规规定的终止事项。</w:t>
      </w:r>
    </w:p>
    <w:p w14:paraId="4D35D72C" w14:textId="77777777" w:rsidR="004F5B35" w:rsidRPr="00ED15FF" w:rsidRDefault="008C7F89">
      <w:pPr>
        <w:spacing w:line="360" w:lineRule="auto"/>
        <w:rPr>
          <w:b/>
          <w:sz w:val="24"/>
        </w:rPr>
      </w:pPr>
      <w:r w:rsidRPr="00ED15FF">
        <w:rPr>
          <w:rFonts w:hint="eastAsia"/>
          <w:b/>
          <w:sz w:val="24"/>
        </w:rPr>
        <w:t>（三）基金财产的清算</w:t>
      </w:r>
    </w:p>
    <w:p w14:paraId="258C9A3D"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）基金财产清算小组</w:t>
      </w:r>
    </w:p>
    <w:p w14:paraId="1E05D52D" w14:textId="77777777" w:rsidR="004F5B35" w:rsidRPr="00ED15FF" w:rsidRDefault="008C7F89">
      <w:pPr>
        <w:spacing w:line="360" w:lineRule="auto"/>
        <w:ind w:firstLine="480"/>
        <w:rPr>
          <w:rFonts w:ascii="宋体"/>
          <w:sz w:val="24"/>
        </w:rPr>
      </w:pPr>
      <w:r w:rsidRPr="00ED15FF">
        <w:rPr>
          <w:rFonts w:ascii="宋体" w:hAnsi="宋体" w:hint="eastAsia"/>
          <w:sz w:val="24"/>
        </w:rPr>
        <w:t>自出现《基金合同》终止事由之日起30个工作日内成立基金财产清算小组，基金管理人组织基金财产清算小组并在中国证监会的监督下进行基金清算。在基金财产清算小组接管基金财产之前，基金管理人和基金托管人应按照《基金合同》和本协议的规定继续履行保护基金资产安全的职责。</w:t>
      </w:r>
    </w:p>
    <w:p w14:paraId="60CFEFF8" w14:textId="77777777" w:rsidR="004F5B35" w:rsidRPr="00ED15FF" w:rsidRDefault="008C7F89">
      <w:pPr>
        <w:spacing w:line="360" w:lineRule="auto"/>
        <w:ind w:firstLine="425"/>
        <w:rPr>
          <w:rFonts w:ascii="宋体"/>
          <w:sz w:val="24"/>
        </w:rPr>
      </w:pPr>
      <w:r w:rsidRPr="00ED15FF">
        <w:rPr>
          <w:rFonts w:ascii="宋体" w:hAnsi="宋体"/>
          <w:sz w:val="24"/>
        </w:rPr>
        <w:t>1</w:t>
      </w:r>
      <w:r w:rsidRPr="00ED15FF">
        <w:rPr>
          <w:rFonts w:ascii="宋体" w:hAnsi="宋体"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435E805" w14:textId="77777777" w:rsidR="004F5B35" w:rsidRPr="00ED15FF" w:rsidRDefault="008C7F89">
      <w:pPr>
        <w:spacing w:line="360" w:lineRule="auto"/>
        <w:ind w:firstLine="425"/>
        <w:rPr>
          <w:rFonts w:ascii="宋体"/>
          <w:sz w:val="24"/>
        </w:rPr>
      </w:pPr>
      <w:r w:rsidRPr="00ED15FF">
        <w:rPr>
          <w:rFonts w:ascii="宋体" w:hAnsi="宋体"/>
          <w:sz w:val="24"/>
        </w:rPr>
        <w:t>2</w:t>
      </w:r>
      <w:r w:rsidRPr="00ED15FF">
        <w:rPr>
          <w:rFonts w:ascii="宋体" w:hAnsi="宋体" w:hint="eastAsia"/>
          <w:sz w:val="24"/>
        </w:rPr>
        <w:t>）基金财产清算小组职责：基金财产清算小组负责基金财产的保管、清理、估价、变现和分配。基金财产清算小组可以依法进行必要的民事活动。</w:t>
      </w:r>
    </w:p>
    <w:p w14:paraId="4312C303" w14:textId="77777777" w:rsidR="004F5B35" w:rsidRPr="00ED15FF" w:rsidRDefault="008C7F89">
      <w:pPr>
        <w:spacing w:line="360" w:lineRule="auto"/>
        <w:ind w:firstLine="425"/>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）基金财产清算程序</w:t>
      </w:r>
    </w:p>
    <w:p w14:paraId="41D01099" w14:textId="77777777" w:rsidR="004F5B35" w:rsidRPr="00ED15FF" w:rsidRDefault="008C7F89">
      <w:pPr>
        <w:spacing w:line="360" w:lineRule="auto"/>
        <w:ind w:firstLine="425"/>
        <w:rPr>
          <w:rFonts w:ascii="宋体"/>
          <w:sz w:val="24"/>
        </w:rPr>
      </w:pPr>
      <w:r w:rsidRPr="00ED15FF">
        <w:rPr>
          <w:rFonts w:ascii="宋体" w:hAnsi="宋体"/>
          <w:sz w:val="24"/>
        </w:rPr>
        <w:t>1</w:t>
      </w:r>
      <w:r w:rsidRPr="00ED15FF">
        <w:rPr>
          <w:rFonts w:ascii="宋体" w:hAnsi="宋体" w:hint="eastAsia"/>
          <w:sz w:val="24"/>
        </w:rPr>
        <w:t>）《基金合同》终止情形出现时，由基金财产清算小组统一接管基金；</w:t>
      </w:r>
    </w:p>
    <w:p w14:paraId="6619947F" w14:textId="77777777" w:rsidR="004F5B35" w:rsidRPr="00ED15FF" w:rsidRDefault="008C7F89">
      <w:pPr>
        <w:spacing w:line="360" w:lineRule="auto"/>
        <w:ind w:firstLine="425"/>
        <w:rPr>
          <w:rFonts w:ascii="宋体"/>
          <w:sz w:val="24"/>
        </w:rPr>
      </w:pPr>
      <w:r w:rsidRPr="00ED15FF">
        <w:rPr>
          <w:rFonts w:ascii="宋体" w:hAnsi="宋体"/>
          <w:sz w:val="24"/>
        </w:rPr>
        <w:t>2</w:t>
      </w:r>
      <w:r w:rsidRPr="00ED15FF">
        <w:rPr>
          <w:rFonts w:ascii="宋体" w:hAnsi="宋体" w:hint="eastAsia"/>
          <w:sz w:val="24"/>
        </w:rPr>
        <w:t>）对基金财产和债权债务进行清理和确认；</w:t>
      </w:r>
    </w:p>
    <w:p w14:paraId="7E62C0F2" w14:textId="77777777" w:rsidR="004F5B35" w:rsidRPr="00ED15FF" w:rsidRDefault="008C7F89">
      <w:pPr>
        <w:spacing w:line="360" w:lineRule="auto"/>
        <w:ind w:firstLine="425"/>
        <w:rPr>
          <w:rFonts w:ascii="宋体"/>
          <w:sz w:val="24"/>
        </w:rPr>
      </w:pPr>
      <w:r w:rsidRPr="00ED15FF">
        <w:rPr>
          <w:rFonts w:ascii="宋体" w:hAnsi="宋体"/>
          <w:sz w:val="24"/>
        </w:rPr>
        <w:t>3</w:t>
      </w:r>
      <w:r w:rsidRPr="00ED15FF">
        <w:rPr>
          <w:rFonts w:ascii="宋体" w:hAnsi="宋体" w:hint="eastAsia"/>
          <w:sz w:val="24"/>
        </w:rPr>
        <w:t>）对基金财产进行估值和变现；</w:t>
      </w:r>
    </w:p>
    <w:p w14:paraId="2D910AF0" w14:textId="77777777" w:rsidR="004F5B35" w:rsidRPr="00ED15FF" w:rsidRDefault="008C7F89">
      <w:pPr>
        <w:spacing w:line="360" w:lineRule="auto"/>
        <w:ind w:firstLine="425"/>
        <w:rPr>
          <w:rFonts w:ascii="宋体"/>
          <w:sz w:val="24"/>
        </w:rPr>
      </w:pPr>
      <w:r w:rsidRPr="00ED15FF">
        <w:rPr>
          <w:rFonts w:ascii="宋体" w:hAnsi="宋体"/>
          <w:sz w:val="24"/>
        </w:rPr>
        <w:t>4</w:t>
      </w:r>
      <w:r w:rsidRPr="00ED15FF">
        <w:rPr>
          <w:rFonts w:ascii="宋体" w:hAnsi="宋体" w:hint="eastAsia"/>
          <w:sz w:val="24"/>
        </w:rPr>
        <w:t>）制作清算报告；</w:t>
      </w:r>
    </w:p>
    <w:p w14:paraId="305D58F4" w14:textId="77777777" w:rsidR="004F5B35" w:rsidRPr="00ED15FF" w:rsidRDefault="008C7F89">
      <w:pPr>
        <w:spacing w:line="360" w:lineRule="auto"/>
        <w:ind w:firstLine="425"/>
        <w:rPr>
          <w:rFonts w:ascii="宋体"/>
          <w:sz w:val="24"/>
        </w:rPr>
      </w:pPr>
      <w:r w:rsidRPr="00ED15FF">
        <w:rPr>
          <w:rFonts w:ascii="宋体" w:hAnsi="宋体"/>
          <w:sz w:val="24"/>
        </w:rPr>
        <w:t>5</w:t>
      </w:r>
      <w:r w:rsidRPr="00ED15FF">
        <w:rPr>
          <w:rFonts w:ascii="宋体" w:hAnsi="宋体" w:hint="eastAsia"/>
          <w:sz w:val="24"/>
        </w:rPr>
        <w:t>）聘请会计师事务所对清算报告进行外部审计，聘请律师事务所对清算报告出具法律意见书；</w:t>
      </w:r>
    </w:p>
    <w:p w14:paraId="082A5239" w14:textId="77777777" w:rsidR="004F5B35" w:rsidRPr="00ED15FF" w:rsidRDefault="008C7F89">
      <w:pPr>
        <w:spacing w:line="360" w:lineRule="auto"/>
        <w:ind w:firstLine="425"/>
        <w:rPr>
          <w:rFonts w:ascii="宋体"/>
          <w:sz w:val="24"/>
        </w:rPr>
      </w:pPr>
      <w:r w:rsidRPr="00ED15FF">
        <w:rPr>
          <w:rFonts w:ascii="宋体" w:hAnsi="宋体"/>
          <w:sz w:val="24"/>
        </w:rPr>
        <w:t>6</w:t>
      </w:r>
      <w:r w:rsidRPr="00ED15FF">
        <w:rPr>
          <w:rFonts w:ascii="宋体" w:hAnsi="宋体" w:hint="eastAsia"/>
          <w:sz w:val="24"/>
        </w:rPr>
        <w:t>）将清算报告报中国证监会备案并公告；</w:t>
      </w:r>
    </w:p>
    <w:p w14:paraId="5AA1166B" w14:textId="77777777" w:rsidR="004F5B35" w:rsidRPr="00ED15FF" w:rsidRDefault="008C7F89">
      <w:pPr>
        <w:spacing w:line="360" w:lineRule="auto"/>
        <w:ind w:firstLine="425"/>
        <w:rPr>
          <w:rFonts w:ascii="宋体" w:hAnsi="宋体"/>
          <w:sz w:val="24"/>
        </w:rPr>
      </w:pPr>
      <w:r w:rsidRPr="00ED15FF">
        <w:rPr>
          <w:rFonts w:ascii="宋体" w:hAnsi="宋体"/>
          <w:sz w:val="24"/>
        </w:rPr>
        <w:t>7</w:t>
      </w:r>
      <w:r w:rsidRPr="00ED15FF">
        <w:rPr>
          <w:rFonts w:ascii="宋体" w:hAnsi="宋体" w:hint="eastAsia"/>
          <w:sz w:val="24"/>
        </w:rPr>
        <w:t>）对基金剩余财产进行分配。</w:t>
      </w:r>
    </w:p>
    <w:p w14:paraId="70E5EC2C" w14:textId="77777777" w:rsidR="004F5B35" w:rsidRPr="00ED15FF" w:rsidRDefault="008C7F89">
      <w:pPr>
        <w:spacing w:line="360" w:lineRule="auto"/>
        <w:ind w:firstLine="480"/>
        <w:rPr>
          <w:rFonts w:ascii="宋体" w:hAnsi="宋体"/>
          <w:sz w:val="24"/>
        </w:rPr>
      </w:pPr>
      <w:r w:rsidRPr="00ED15FF">
        <w:rPr>
          <w:rFonts w:ascii="宋体" w:hAnsi="宋体" w:hint="eastAsia"/>
          <w:sz w:val="24"/>
        </w:rPr>
        <w:t>基金财产清算的期限为6个月，但因本基金所持证券的流动性受到限制而</w:t>
      </w:r>
      <w:r w:rsidRPr="00ED15FF">
        <w:rPr>
          <w:rFonts w:ascii="宋体" w:hAnsi="宋体" w:hint="eastAsia"/>
          <w:sz w:val="24"/>
        </w:rPr>
        <w:lastRenderedPageBreak/>
        <w:t>不能及时变现的，清算期限相应顺延。</w:t>
      </w:r>
    </w:p>
    <w:p w14:paraId="3FA24401"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）清算费用</w:t>
      </w:r>
    </w:p>
    <w:p w14:paraId="4F17A31E" w14:textId="77777777" w:rsidR="004F5B35" w:rsidRPr="00ED15FF" w:rsidRDefault="008C7F89">
      <w:pPr>
        <w:spacing w:line="360" w:lineRule="auto"/>
        <w:ind w:firstLine="480"/>
        <w:rPr>
          <w:rFonts w:ascii="宋体"/>
          <w:sz w:val="24"/>
        </w:rPr>
      </w:pPr>
      <w:r w:rsidRPr="00ED15FF">
        <w:rPr>
          <w:rFonts w:ascii="宋体" w:hAnsi="宋体" w:hint="eastAsia"/>
          <w:sz w:val="24"/>
        </w:rPr>
        <w:t>清算费用是指基金财产清算小组在进行基金财产清算过程中发生的所有合理费用，清算费用由基金财产清算小组优先从基金剩余财产中支付。</w:t>
      </w:r>
    </w:p>
    <w:p w14:paraId="58D99E0C" w14:textId="7D9C2D28"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4</w:t>
      </w:r>
      <w:r w:rsidRPr="00ED15FF">
        <w:rPr>
          <w:rFonts w:ascii="宋体" w:hAnsi="宋体" w:hint="eastAsia"/>
          <w:sz w:val="24"/>
        </w:rPr>
        <w:t>）基金</w:t>
      </w:r>
      <w:r w:rsidRPr="00ED15FF">
        <w:rPr>
          <w:bCs/>
          <w:sz w:val="24"/>
        </w:rPr>
        <w:t>财产清算剩余资产</w:t>
      </w:r>
      <w:r w:rsidRPr="00ED15FF">
        <w:rPr>
          <w:rFonts w:ascii="宋体" w:hAnsi="宋体" w:hint="eastAsia"/>
          <w:sz w:val="24"/>
        </w:rPr>
        <w:t>的分配</w:t>
      </w:r>
    </w:p>
    <w:p w14:paraId="2F911EA2" w14:textId="77777777" w:rsidR="004F5B35" w:rsidRPr="00ED15FF" w:rsidRDefault="008C7F89">
      <w:pPr>
        <w:spacing w:line="360" w:lineRule="auto"/>
        <w:ind w:firstLine="480"/>
        <w:rPr>
          <w:rFonts w:ascii="宋体"/>
          <w:sz w:val="24"/>
        </w:rPr>
      </w:pPr>
      <w:r w:rsidRPr="00ED15FF">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6D50F262"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5</w:t>
      </w:r>
      <w:r w:rsidRPr="00ED15FF">
        <w:rPr>
          <w:rFonts w:ascii="宋体" w:hAnsi="宋体" w:hint="eastAsia"/>
          <w:sz w:val="24"/>
        </w:rPr>
        <w:t>）基金财产清算的公告</w:t>
      </w:r>
    </w:p>
    <w:p w14:paraId="556F8905" w14:textId="77777777" w:rsidR="004F5B35" w:rsidRPr="00ED15FF" w:rsidRDefault="008C7F89">
      <w:pPr>
        <w:spacing w:line="360" w:lineRule="auto"/>
        <w:ind w:firstLine="420"/>
        <w:jc w:val="left"/>
        <w:rPr>
          <w:rFonts w:ascii="宋体"/>
          <w:sz w:val="24"/>
        </w:rPr>
      </w:pPr>
      <w:r w:rsidRPr="00ED15FF">
        <w:rPr>
          <w:bCs/>
          <w:sz w:val="24"/>
        </w:rPr>
        <w:t>清算过程中的有关重大事项须及时公告；基金财产清算报告经</w:t>
      </w:r>
      <w:r w:rsidRPr="00ED15FF">
        <w:rPr>
          <w:rFonts w:hint="eastAsia"/>
          <w:bCs/>
          <w:sz w:val="24"/>
        </w:rPr>
        <w:t>符合《中华人民共和国证券法》规定的</w:t>
      </w:r>
      <w:r w:rsidRPr="00ED15FF">
        <w:rPr>
          <w:bCs/>
          <w:sz w:val="24"/>
        </w:rPr>
        <w:t>会计师事务所审计并由律师事务所出具法律意见书后报中国证监会备案并公告。基金财产清算公告于基金财产清算报告报中国证监会备案后</w:t>
      </w:r>
      <w:r w:rsidRPr="00ED15FF">
        <w:rPr>
          <w:rFonts w:hint="eastAsia"/>
          <w:bCs/>
          <w:sz w:val="24"/>
        </w:rPr>
        <w:t>5</w:t>
      </w:r>
      <w:r w:rsidRPr="00ED15FF">
        <w:rPr>
          <w:bCs/>
          <w:sz w:val="24"/>
        </w:rPr>
        <w:t>个工作日内由基金财产清算小组进行公告</w:t>
      </w:r>
      <w:r w:rsidRPr="00ED15FF">
        <w:rPr>
          <w:rFonts w:hint="eastAsia"/>
          <w:bCs/>
          <w:sz w:val="24"/>
        </w:rPr>
        <w:t>，基金财产清算小组应当将清算报告登载在规定网站上，并将清算报告提示性公告登载在规定报刊上</w:t>
      </w:r>
      <w:r w:rsidRPr="00ED15FF">
        <w:rPr>
          <w:bCs/>
          <w:sz w:val="24"/>
        </w:rPr>
        <w:t>。</w:t>
      </w:r>
    </w:p>
    <w:p w14:paraId="32E8628E"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6</w:t>
      </w:r>
      <w:r w:rsidRPr="00ED15FF">
        <w:rPr>
          <w:rFonts w:ascii="宋体" w:hAnsi="宋体" w:hint="eastAsia"/>
          <w:sz w:val="24"/>
        </w:rPr>
        <w:t>）基金财产清算账册及文件的保存</w:t>
      </w:r>
    </w:p>
    <w:p w14:paraId="18199DFB" w14:textId="77777777" w:rsidR="004F5B35" w:rsidRPr="00ED15FF" w:rsidRDefault="008C7F89">
      <w:pPr>
        <w:spacing w:line="360" w:lineRule="auto"/>
        <w:ind w:firstLine="480"/>
        <w:rPr>
          <w:rFonts w:ascii="宋体"/>
          <w:sz w:val="24"/>
        </w:rPr>
      </w:pPr>
      <w:r w:rsidRPr="00ED15FF">
        <w:rPr>
          <w:rFonts w:ascii="宋体" w:hAnsi="宋体" w:hint="eastAsia"/>
          <w:sz w:val="24"/>
        </w:rPr>
        <w:t>基金财产清算账册及有关文件由基金托管人保存，保存期限不低于法律法规规定的最低期限</w:t>
      </w:r>
      <w:r w:rsidRPr="00ED15FF">
        <w:rPr>
          <w:rFonts w:ascii="宋体" w:hAnsi="宋体"/>
          <w:sz w:val="24"/>
        </w:rPr>
        <w:t>。</w:t>
      </w:r>
      <w:bookmarkStart w:id="112" w:name="_Toc125892453"/>
    </w:p>
    <w:p w14:paraId="29CE6919" w14:textId="77777777" w:rsidR="004F5B35" w:rsidRPr="00ED15FF" w:rsidRDefault="008C7F89">
      <w:pPr>
        <w:pStyle w:val="117"/>
      </w:pPr>
      <w:bookmarkStart w:id="113" w:name="_Toc516233757"/>
      <w:r w:rsidRPr="00ED15FF">
        <w:t>十七、违约责任</w:t>
      </w:r>
      <w:bookmarkEnd w:id="108"/>
      <w:bookmarkEnd w:id="109"/>
      <w:bookmarkEnd w:id="110"/>
      <w:bookmarkEnd w:id="112"/>
      <w:bookmarkEnd w:id="113"/>
    </w:p>
    <w:p w14:paraId="6EA29F6C" w14:textId="77777777" w:rsidR="004F5B35" w:rsidRPr="00ED15FF" w:rsidRDefault="008C7F89">
      <w:pPr>
        <w:spacing w:line="360" w:lineRule="auto"/>
        <w:rPr>
          <w:b/>
          <w:sz w:val="24"/>
        </w:rPr>
      </w:pPr>
      <w:r w:rsidRPr="00ED15FF">
        <w:rPr>
          <w:rFonts w:hint="eastAsia"/>
          <w:b/>
          <w:sz w:val="24"/>
        </w:rPr>
        <w:t>（一）基金管理人或基金托管人不履行本协议或履行本协议不符合约定的，应当承担违约责任。</w:t>
      </w:r>
    </w:p>
    <w:p w14:paraId="6FCAED0A" w14:textId="77777777" w:rsidR="004F5B35" w:rsidRPr="00ED15FF" w:rsidRDefault="008C7F89">
      <w:pPr>
        <w:spacing w:line="360" w:lineRule="auto"/>
        <w:rPr>
          <w:b/>
          <w:sz w:val="24"/>
        </w:rPr>
      </w:pPr>
      <w:r w:rsidRPr="00ED15FF">
        <w:rPr>
          <w:rFonts w:hint="eastAsia"/>
          <w:b/>
          <w:sz w:val="24"/>
        </w:rPr>
        <w:t>（二）</w:t>
      </w:r>
      <w:bookmarkStart w:id="114" w:name="OLE_LINK3"/>
      <w:r w:rsidRPr="00ED15FF">
        <w:rPr>
          <w:rFonts w:hint="eastAsia"/>
          <w:b/>
          <w:sz w:val="24"/>
        </w:rPr>
        <w:t>基金管理人、基金托管人在履行各自职责的过程中，违反《基金法》规定或者本托管协议约定，给基金财产或者基金份额持有人造成损害的，应当分别对各自的行为依法承担赔偿责任；因共同行为给基金财产或者基金份额持有人造成损害的，应当承担连带赔偿责任，对损失的赔偿，仅限于直接损失，一方承担连带责任后有权根据另一方过错程度向另一方追偿。</w:t>
      </w:r>
      <w:bookmarkEnd w:id="114"/>
      <w:r w:rsidRPr="00ED15FF">
        <w:rPr>
          <w:rFonts w:hint="eastAsia"/>
          <w:b/>
          <w:sz w:val="24"/>
        </w:rPr>
        <w:t>但是发生下列情况，当事人免责：</w:t>
      </w:r>
    </w:p>
    <w:p w14:paraId="56F48DBF"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1</w:t>
      </w:r>
      <w:r w:rsidRPr="00ED15FF">
        <w:rPr>
          <w:rFonts w:ascii="宋体" w:hAnsi="宋体" w:hint="eastAsia"/>
          <w:sz w:val="24"/>
        </w:rPr>
        <w:t>）基金管理人和</w:t>
      </w:r>
      <w:r w:rsidRPr="00ED15FF">
        <w:rPr>
          <w:rFonts w:ascii="宋体" w:hAnsi="宋体"/>
          <w:sz w:val="24"/>
        </w:rPr>
        <w:t>/</w:t>
      </w:r>
      <w:r w:rsidRPr="00ED15FF">
        <w:rPr>
          <w:rFonts w:ascii="宋体" w:hAnsi="宋体" w:hint="eastAsia"/>
          <w:sz w:val="24"/>
        </w:rPr>
        <w:t>或基金托管人按照中国证监会的规定或届时有效的法律法规作为或不作为而造成的损失等；</w:t>
      </w:r>
    </w:p>
    <w:p w14:paraId="7EEEAEA0"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2</w:t>
      </w:r>
      <w:r w:rsidRPr="00ED15FF">
        <w:rPr>
          <w:rFonts w:ascii="宋体" w:hAnsi="宋体" w:hint="eastAsia"/>
          <w:sz w:val="24"/>
        </w:rPr>
        <w:t>）基金管理人由于按照《基金合同》规定的投资原则</w:t>
      </w:r>
      <w:r w:rsidRPr="00ED15FF">
        <w:rPr>
          <w:rFonts w:ascii="宋体" w:hAnsi="宋体" w:hint="eastAsia"/>
          <w:bCs/>
          <w:sz w:val="24"/>
        </w:rPr>
        <w:t>行使或不行使其</w:t>
      </w:r>
      <w:r w:rsidRPr="00ED15FF">
        <w:rPr>
          <w:rFonts w:ascii="宋体" w:hAnsi="宋体" w:hint="eastAsia"/>
          <w:bCs/>
          <w:sz w:val="24"/>
        </w:rPr>
        <w:lastRenderedPageBreak/>
        <w:t>投资权而造成的损失等</w:t>
      </w:r>
      <w:r w:rsidRPr="00ED15FF">
        <w:rPr>
          <w:rFonts w:ascii="宋体" w:hAnsi="宋体" w:hint="eastAsia"/>
          <w:sz w:val="24"/>
        </w:rPr>
        <w:t>；</w:t>
      </w:r>
    </w:p>
    <w:p w14:paraId="25AE32F4" w14:textId="77777777" w:rsidR="004F5B35" w:rsidRPr="00ED15FF" w:rsidRDefault="008C7F89">
      <w:pPr>
        <w:spacing w:line="360" w:lineRule="auto"/>
        <w:ind w:firstLine="480"/>
        <w:rPr>
          <w:rFonts w:ascii="宋体"/>
          <w:sz w:val="24"/>
        </w:rPr>
      </w:pPr>
      <w:r w:rsidRPr="00ED15FF">
        <w:rPr>
          <w:rFonts w:ascii="宋体" w:hAnsi="宋体" w:hint="eastAsia"/>
          <w:sz w:val="24"/>
        </w:rPr>
        <w:t>（</w:t>
      </w:r>
      <w:r w:rsidRPr="00ED15FF">
        <w:rPr>
          <w:rFonts w:ascii="宋体" w:hAnsi="宋体"/>
          <w:sz w:val="24"/>
        </w:rPr>
        <w:t>3</w:t>
      </w:r>
      <w:r w:rsidRPr="00ED15FF">
        <w:rPr>
          <w:rFonts w:ascii="宋体" w:hAnsi="宋体" w:hint="eastAsia"/>
          <w:sz w:val="24"/>
        </w:rPr>
        <w:t>）不可抗力。</w:t>
      </w:r>
    </w:p>
    <w:p w14:paraId="26E573D0" w14:textId="77777777" w:rsidR="004F5B35" w:rsidRPr="00ED15FF" w:rsidRDefault="008C7F89">
      <w:pPr>
        <w:spacing w:line="360" w:lineRule="auto"/>
        <w:ind w:firstLine="480"/>
        <w:rPr>
          <w:rFonts w:ascii="宋体"/>
          <w:sz w:val="24"/>
        </w:rPr>
      </w:pPr>
      <w:r w:rsidRPr="00ED15FF">
        <w:rPr>
          <w:rFonts w:ascii="宋体" w:hAnsi="宋体" w:hint="eastAsia"/>
          <w:sz w:val="24"/>
        </w:rPr>
        <w:t>如果由于本协议一方当事人（“违约方”）的违约行为给基金资产或基金投资者造成损失，而另一方当事人（“守约方”）赔偿了基金资产或基金投资者的损失，则守约方有权向违约方追索由此遭受的所有直接损失。</w:t>
      </w:r>
    </w:p>
    <w:p w14:paraId="4B98BCBE" w14:textId="77777777" w:rsidR="004F5B35" w:rsidRPr="00ED15FF" w:rsidRDefault="008C7F89">
      <w:pPr>
        <w:spacing w:line="360" w:lineRule="auto"/>
        <w:ind w:firstLine="480"/>
        <w:rPr>
          <w:rFonts w:ascii="宋体"/>
          <w:sz w:val="24"/>
        </w:rPr>
      </w:pPr>
      <w:r w:rsidRPr="00ED15FF">
        <w:rPr>
          <w:rFonts w:ascii="宋体" w:hAnsi="宋体" w:hint="eastAsia"/>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14:paraId="3D8D981F" w14:textId="77777777" w:rsidR="004F5B35" w:rsidRPr="00ED15FF" w:rsidRDefault="008C7F89">
      <w:pPr>
        <w:spacing w:line="360" w:lineRule="auto"/>
        <w:ind w:firstLine="480"/>
        <w:rPr>
          <w:rFonts w:ascii="宋体"/>
          <w:sz w:val="24"/>
        </w:rPr>
      </w:pPr>
      <w:r w:rsidRPr="00ED15FF">
        <w:rPr>
          <w:rFonts w:ascii="宋体" w:hAnsi="宋体" w:hint="eastAsia"/>
          <w:sz w:val="24"/>
        </w:rPr>
        <w:t>由于基金管理人、基金托管人不可控制的因素导致业务出现差错，基金管理人和基金托管人虽然已经采取必要、适当、合理的措施进行检查，但是未能发现该错误</w:t>
      </w:r>
      <w:r w:rsidRPr="00ED15FF">
        <w:rPr>
          <w:rFonts w:hint="eastAsia"/>
          <w:bCs/>
          <w:sz w:val="24"/>
        </w:rPr>
        <w:t>或虽发现错误但是因为前述原因无法更正</w:t>
      </w:r>
      <w:r w:rsidRPr="00ED15FF">
        <w:rPr>
          <w:rFonts w:ascii="宋体" w:hAnsi="宋体" w:hint="eastAsia"/>
          <w:sz w:val="24"/>
        </w:rPr>
        <w:t>的，由此造成基金资产或基金投资者损失，基金管理人和基金托管人免除赔偿责任。但基金管理人和基金托管人应当积极采取必要的措施消除或降低由此造成的影响。</w:t>
      </w:r>
    </w:p>
    <w:p w14:paraId="7C11A198" w14:textId="77777777" w:rsidR="004F5B35" w:rsidRPr="00ED15FF" w:rsidRDefault="008C7F89">
      <w:pPr>
        <w:spacing w:line="360" w:lineRule="auto"/>
        <w:rPr>
          <w:b/>
          <w:sz w:val="24"/>
        </w:rPr>
      </w:pPr>
      <w:r w:rsidRPr="00ED15FF">
        <w:rPr>
          <w:rFonts w:hint="eastAsia"/>
          <w:b/>
          <w:sz w:val="24"/>
        </w:rPr>
        <w:t>（三）托管协议当事人违反托管协议，给另一方当事人造成损失的，应承担赔偿责任。</w:t>
      </w:r>
    </w:p>
    <w:p w14:paraId="4B71373C" w14:textId="77777777" w:rsidR="004F5B35" w:rsidRPr="00ED15FF" w:rsidRDefault="008C7F89">
      <w:pPr>
        <w:spacing w:line="360" w:lineRule="auto"/>
        <w:rPr>
          <w:b/>
          <w:sz w:val="24"/>
        </w:rPr>
      </w:pPr>
      <w:r w:rsidRPr="00ED15FF">
        <w:rPr>
          <w:b/>
          <w:sz w:val="24"/>
        </w:rPr>
        <w:t>（四）违约行为虽已发生，但本托管协议能够继续履行的，在最大限度地保护基金份额持有人利益的前提下，基金管理人和基金托管人应当继续履行本协议。</w:t>
      </w:r>
      <w:bookmarkStart w:id="115" w:name="_Toc466788868"/>
      <w:bookmarkStart w:id="116" w:name="_Toc523830010"/>
      <w:bookmarkStart w:id="117" w:name="_Toc22454480"/>
      <w:bookmarkStart w:id="118" w:name="_Toc125892454"/>
    </w:p>
    <w:p w14:paraId="5160CBBE" w14:textId="77777777" w:rsidR="004F5B35" w:rsidRPr="00ED15FF" w:rsidRDefault="008C7F89">
      <w:pPr>
        <w:spacing w:line="360" w:lineRule="auto"/>
        <w:rPr>
          <w:b/>
          <w:sz w:val="24"/>
        </w:rPr>
      </w:pPr>
      <w:r w:rsidRPr="00ED15FF">
        <w:rPr>
          <w:rFonts w:hint="eastAsia"/>
          <w:b/>
          <w:sz w:val="24"/>
        </w:rPr>
        <w:t>（五）本协议所指损失均为直接损失。</w:t>
      </w:r>
    </w:p>
    <w:p w14:paraId="097514CA" w14:textId="77777777" w:rsidR="004F5B35" w:rsidRPr="00ED15FF" w:rsidRDefault="008C7F89">
      <w:pPr>
        <w:pStyle w:val="117"/>
      </w:pPr>
      <w:bookmarkStart w:id="119" w:name="_Toc516233758"/>
      <w:r w:rsidRPr="00ED15FF">
        <w:t>十八、争议</w:t>
      </w:r>
      <w:bookmarkEnd w:id="115"/>
      <w:bookmarkEnd w:id="116"/>
      <w:bookmarkEnd w:id="117"/>
      <w:r w:rsidRPr="00ED15FF">
        <w:t>解决方式</w:t>
      </w:r>
      <w:bookmarkEnd w:id="118"/>
      <w:bookmarkEnd w:id="119"/>
    </w:p>
    <w:p w14:paraId="6BAB37E9" w14:textId="77777777" w:rsidR="004F5B35" w:rsidRPr="00ED15FF" w:rsidRDefault="008C7F89">
      <w:pPr>
        <w:spacing w:line="360" w:lineRule="auto"/>
        <w:ind w:firstLine="480"/>
        <w:rPr>
          <w:rFonts w:ascii="宋体"/>
          <w:sz w:val="24"/>
        </w:rPr>
      </w:pPr>
      <w:r w:rsidRPr="00ED15FF">
        <w:rPr>
          <w:rFonts w:ascii="宋体" w:hAnsi="宋体" w:hint="eastAsia"/>
          <w:sz w:val="24"/>
        </w:rPr>
        <w:t>双方</w:t>
      </w:r>
      <w:r w:rsidRPr="00ED15FF">
        <w:rPr>
          <w:rFonts w:ascii="宋体" w:hAnsi="宋体"/>
          <w:sz w:val="24"/>
        </w:rPr>
        <w:t>当事人同意，因本协议而产</w:t>
      </w:r>
      <w:r w:rsidRPr="00ED15FF">
        <w:rPr>
          <w:rFonts w:ascii="宋体" w:hAnsi="宋体" w:hint="eastAsia"/>
          <w:sz w:val="24"/>
        </w:rPr>
        <w:t>生的或与本协议有关的一切争议，应通过友好协商或者调解解决。托管协议当事人不愿通过协商、调解解决或者协商、调解不成的，任何一方当事人均有权将争议提交深圳国际仲裁院，根据深圳国际仲裁院届时有效的仲裁规则进行仲裁，仲裁的地点在深圳市，仲裁裁决是终局的，并对双方当事人均有约束力。除非仲裁裁决另有规定，仲裁费用由败诉方承担。</w:t>
      </w:r>
    </w:p>
    <w:p w14:paraId="228CDE22" w14:textId="77777777" w:rsidR="004F5B35" w:rsidRPr="00ED15FF" w:rsidRDefault="008C7F89">
      <w:pPr>
        <w:spacing w:line="360" w:lineRule="auto"/>
        <w:ind w:firstLine="480"/>
        <w:rPr>
          <w:rFonts w:ascii="宋体"/>
          <w:sz w:val="24"/>
        </w:rPr>
      </w:pPr>
      <w:r w:rsidRPr="00ED15FF">
        <w:rPr>
          <w:rFonts w:ascii="宋体" w:hAnsi="宋体" w:hint="eastAsia"/>
          <w:sz w:val="24"/>
        </w:rPr>
        <w:t>争议处理期间，双方当事人应恪守基金管理人和基金托管人职责，继续忠实、勤勉、尽责地履行《基金合同》和本协议规定的义务，维护基金份额持有人的合法权益。</w:t>
      </w:r>
    </w:p>
    <w:p w14:paraId="113274D4" w14:textId="77777777" w:rsidR="004F5B35" w:rsidRPr="00ED15FF" w:rsidRDefault="008C7F89">
      <w:pPr>
        <w:spacing w:line="360" w:lineRule="auto"/>
        <w:ind w:firstLine="480"/>
        <w:rPr>
          <w:rFonts w:ascii="宋体"/>
          <w:sz w:val="24"/>
        </w:rPr>
      </w:pPr>
      <w:r w:rsidRPr="00ED15FF">
        <w:rPr>
          <w:rFonts w:ascii="宋体" w:hAnsi="宋体" w:hint="eastAsia"/>
          <w:sz w:val="24"/>
        </w:rPr>
        <w:lastRenderedPageBreak/>
        <w:t>本协议受中华人民共和国法律</w:t>
      </w:r>
      <w:r w:rsidRPr="00ED15FF">
        <w:rPr>
          <w:rFonts w:hint="eastAsia"/>
          <w:bCs/>
          <w:sz w:val="24"/>
        </w:rPr>
        <w:t>（为本协议之目的，在此不包括香港、澳门特别行政区和台湾地区法律）</w:t>
      </w:r>
      <w:r w:rsidRPr="00ED15FF">
        <w:rPr>
          <w:rFonts w:ascii="宋体" w:hAnsi="宋体"/>
          <w:sz w:val="24"/>
        </w:rPr>
        <w:t>管辖。</w:t>
      </w:r>
      <w:bookmarkStart w:id="120" w:name="_Toc466788869"/>
      <w:bookmarkStart w:id="121" w:name="_Toc523830011"/>
      <w:bookmarkStart w:id="122" w:name="_Toc22454481"/>
      <w:bookmarkStart w:id="123" w:name="_Toc125892455"/>
    </w:p>
    <w:p w14:paraId="57B89E83" w14:textId="77777777" w:rsidR="004F5B35" w:rsidRPr="00ED15FF" w:rsidRDefault="008C7F89">
      <w:pPr>
        <w:pStyle w:val="117"/>
      </w:pPr>
      <w:bookmarkStart w:id="124" w:name="_Toc516233759"/>
      <w:r w:rsidRPr="00ED15FF">
        <w:t>十九、基金托管协议的效力</w:t>
      </w:r>
      <w:bookmarkEnd w:id="120"/>
      <w:bookmarkEnd w:id="121"/>
      <w:bookmarkEnd w:id="122"/>
      <w:bookmarkEnd w:id="123"/>
      <w:bookmarkEnd w:id="124"/>
    </w:p>
    <w:p w14:paraId="60A5FBF4" w14:textId="77777777" w:rsidR="004F5B35" w:rsidRPr="00ED15FF" w:rsidRDefault="008C7F89">
      <w:pPr>
        <w:spacing w:line="360" w:lineRule="auto"/>
        <w:rPr>
          <w:sz w:val="24"/>
        </w:rPr>
      </w:pPr>
      <w:r w:rsidRPr="00ED15FF">
        <w:rPr>
          <w:rFonts w:hint="eastAsia"/>
          <w:sz w:val="24"/>
        </w:rPr>
        <w:t>（一）基金管理人在向中国证监会申请基金募集注册时提交的基金托管协议草案，应经托管协议当事人双方加盖公章以及双方法定代表人或授权代表签字或盖章，协议当事人双方根据中国证监会的意见修改托管协议草案。托管协议以报中国证监会注册的文本为正式文本。</w:t>
      </w:r>
    </w:p>
    <w:p w14:paraId="5ABF9CDA" w14:textId="77777777" w:rsidR="004F5B35" w:rsidRPr="00ED15FF" w:rsidRDefault="008C7F89">
      <w:pPr>
        <w:spacing w:line="360" w:lineRule="auto"/>
        <w:rPr>
          <w:sz w:val="24"/>
        </w:rPr>
      </w:pPr>
      <w:r w:rsidRPr="00ED15FF">
        <w:rPr>
          <w:rFonts w:hint="eastAsia"/>
          <w:sz w:val="24"/>
        </w:rPr>
        <w:t>（二）基金托管协议自《基金合同》成立之日起成立，自《基金合同》生效之日起生效。基金托管协议的有效期自其生效之日起至基金财产清算结果报中国证监会备案并公告之日止。</w:t>
      </w:r>
    </w:p>
    <w:p w14:paraId="03F12F8A" w14:textId="77777777" w:rsidR="004F5B35" w:rsidRPr="00ED15FF" w:rsidRDefault="008C7F89">
      <w:pPr>
        <w:spacing w:line="360" w:lineRule="auto"/>
        <w:rPr>
          <w:sz w:val="24"/>
        </w:rPr>
      </w:pPr>
      <w:r w:rsidRPr="00ED15FF">
        <w:rPr>
          <w:rFonts w:hint="eastAsia"/>
          <w:sz w:val="24"/>
        </w:rPr>
        <w:t>（三）基金托管协议自生效之日起对托管协议当事人具有同等的法律约束力。</w:t>
      </w:r>
    </w:p>
    <w:p w14:paraId="56B97A87" w14:textId="451BAF2B" w:rsidR="004F5B35" w:rsidRPr="00ED15FF" w:rsidRDefault="008C7F89">
      <w:pPr>
        <w:spacing w:line="360" w:lineRule="auto"/>
        <w:rPr>
          <w:sz w:val="24"/>
        </w:rPr>
      </w:pPr>
      <w:r w:rsidRPr="00ED15FF">
        <w:rPr>
          <w:rFonts w:hint="eastAsia"/>
          <w:sz w:val="24"/>
        </w:rPr>
        <w:t>（四）基金托管协议一式</w:t>
      </w:r>
      <w:r w:rsidRPr="00ED15FF">
        <w:rPr>
          <w:sz w:val="24"/>
        </w:rPr>
        <w:t>3</w:t>
      </w:r>
      <w:r w:rsidRPr="00ED15FF">
        <w:rPr>
          <w:rFonts w:hint="eastAsia"/>
          <w:sz w:val="24"/>
        </w:rPr>
        <w:t>份，上报有关监管部门</w:t>
      </w:r>
      <w:r w:rsidRPr="00ED15FF">
        <w:rPr>
          <w:sz w:val="24"/>
        </w:rPr>
        <w:t>1</w:t>
      </w:r>
      <w:r w:rsidRPr="00ED15FF">
        <w:rPr>
          <w:rFonts w:hint="eastAsia"/>
          <w:sz w:val="24"/>
        </w:rPr>
        <w:t>份，基金管理人和基金托管人分别持有</w:t>
      </w:r>
      <w:r w:rsidRPr="00ED15FF">
        <w:rPr>
          <w:sz w:val="24"/>
        </w:rPr>
        <w:t>1</w:t>
      </w:r>
      <w:r w:rsidRPr="00ED15FF">
        <w:rPr>
          <w:rFonts w:hint="eastAsia"/>
          <w:sz w:val="24"/>
        </w:rPr>
        <w:t>份，每份具有同等的法律效力。</w:t>
      </w:r>
    </w:p>
    <w:p w14:paraId="249E6C21" w14:textId="77777777" w:rsidR="004F5B35" w:rsidRPr="00ED15FF" w:rsidRDefault="008C7F89">
      <w:pPr>
        <w:pStyle w:val="117"/>
      </w:pPr>
      <w:bookmarkStart w:id="125" w:name="_Toc516233760"/>
      <w:r w:rsidRPr="00ED15FF">
        <w:t>二十、其他事项</w:t>
      </w:r>
      <w:bookmarkEnd w:id="125"/>
    </w:p>
    <w:p w14:paraId="6CA6F4B8" w14:textId="77777777" w:rsidR="004F5B35" w:rsidRPr="00ED15FF" w:rsidRDefault="008C7F89">
      <w:pPr>
        <w:spacing w:line="360" w:lineRule="auto"/>
        <w:ind w:firstLine="472"/>
        <w:rPr>
          <w:b/>
          <w:sz w:val="24"/>
        </w:rPr>
      </w:pPr>
      <w:r w:rsidRPr="00ED15FF">
        <w:rPr>
          <w:rFonts w:hint="eastAsia"/>
          <w:b/>
          <w:sz w:val="24"/>
        </w:rPr>
        <w:t>本协议未尽事宜，当事人依据基金合同、有关法律法规等规定协商办理。</w:t>
      </w:r>
    </w:p>
    <w:p w14:paraId="5C0722AA" w14:textId="77777777" w:rsidR="004F5B35" w:rsidRPr="00ED15FF" w:rsidRDefault="008C7F89">
      <w:pPr>
        <w:pStyle w:val="117"/>
      </w:pPr>
      <w:bookmarkStart w:id="126" w:name="_Toc523830014"/>
      <w:bookmarkStart w:id="127" w:name="_Toc22454484"/>
      <w:bookmarkStart w:id="128" w:name="_Toc516233761"/>
      <w:r w:rsidRPr="00ED15FF">
        <w:t>二十一、基金托管协议的签订</w:t>
      </w:r>
      <w:bookmarkEnd w:id="126"/>
      <w:bookmarkEnd w:id="127"/>
      <w:bookmarkEnd w:id="128"/>
    </w:p>
    <w:p w14:paraId="18C9BC49" w14:textId="77777777" w:rsidR="004F5B35" w:rsidRPr="00ED15FF" w:rsidRDefault="004F5B35"/>
    <w:p w14:paraId="0E48FEE9" w14:textId="77777777" w:rsidR="004F5B35" w:rsidRPr="00ED15FF" w:rsidRDefault="008C7F89">
      <w:pPr>
        <w:ind w:firstLine="480"/>
        <w:rPr>
          <w:sz w:val="24"/>
        </w:rPr>
      </w:pPr>
      <w:r w:rsidRPr="00ED15FF">
        <w:rPr>
          <w:rFonts w:hint="eastAsia"/>
          <w:sz w:val="24"/>
        </w:rPr>
        <w:t>本协议双方法定代表人或授权代表签章、签订地、签订日</w:t>
      </w:r>
    </w:p>
    <w:p w14:paraId="2167E193" w14:textId="77777777" w:rsidR="004F5B35" w:rsidRPr="00ED15FF" w:rsidRDefault="004F5B35"/>
    <w:p w14:paraId="29458F55" w14:textId="77777777" w:rsidR="004F5B35" w:rsidRPr="00ED15FF" w:rsidRDefault="004F5B35"/>
    <w:p w14:paraId="33F6DBEA" w14:textId="1B5E3866" w:rsidR="004F5B35" w:rsidRDefault="004F5B35" w:rsidP="0071344D">
      <w:pPr>
        <w:widowControl/>
        <w:jc w:val="left"/>
      </w:pPr>
      <w:bookmarkStart w:id="129" w:name="_GoBack"/>
      <w:bookmarkEnd w:id="129"/>
    </w:p>
    <w:sectPr w:rsidR="004F5B35" w:rsidSect="004F5B35">
      <w:headerReference w:type="default" r:id="rId11"/>
      <w:footerReference w:type="default" r:id="rId12"/>
      <w:pgSz w:w="11906" w:h="16838"/>
      <w:pgMar w:top="1440" w:right="1797" w:bottom="1440" w:left="1797" w:header="851" w:footer="992" w:gutter="0"/>
      <w:pgNumType w:start="1"/>
      <w:cols w:space="425"/>
      <w:titlePg/>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C531E9" w16cex:dateUtc="2022-09-05T09:56:13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C531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5A0D" w14:textId="77777777" w:rsidR="00E644C9" w:rsidRDefault="00E644C9">
      <w:r>
        <w:separator/>
      </w:r>
    </w:p>
  </w:endnote>
  <w:endnote w:type="continuationSeparator" w:id="0">
    <w:p w14:paraId="6EAA56B4" w14:textId="77777777" w:rsidR="00E644C9" w:rsidRDefault="00E6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69E0" w14:textId="77777777" w:rsidR="00AC5757" w:rsidRDefault="00AC5757">
    <w:pPr>
      <w:pStyle w:val="13"/>
      <w:rPr>
        <w:rStyle w:val="af4"/>
      </w:rPr>
    </w:pPr>
    <w:r>
      <w:rPr>
        <w:rStyle w:val="af4"/>
      </w:rPr>
      <w:fldChar w:fldCharType="begin"/>
    </w:r>
    <w:r>
      <w:rPr>
        <w:rStyle w:val="af4"/>
      </w:rPr>
      <w:instrText xml:space="preserve">PAGE  </w:instrText>
    </w:r>
    <w:r>
      <w:rPr>
        <w:rStyle w:val="af4"/>
      </w:rPr>
      <w:fldChar w:fldCharType="end"/>
    </w:r>
  </w:p>
  <w:p w14:paraId="71006820" w14:textId="77777777" w:rsidR="00AC5757" w:rsidRDefault="00AC5757">
    <w:pPr>
      <w:pStyle w:val="1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17A1" w14:textId="77777777" w:rsidR="00AC5757" w:rsidRDefault="00AC5757">
    <w:pPr>
      <w:pStyle w:val="1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125A" w14:textId="70FB5A00" w:rsidR="00AC5757" w:rsidRDefault="00AC5757">
    <w:pPr>
      <w:pStyle w:val="13"/>
      <w:jc w:val="center"/>
      <w:rPr>
        <w:rStyle w:val="af4"/>
      </w:rPr>
    </w:pPr>
    <w:r>
      <w:rPr>
        <w:rStyle w:val="af4"/>
      </w:rPr>
      <w:fldChar w:fldCharType="begin"/>
    </w:r>
    <w:r>
      <w:rPr>
        <w:rStyle w:val="af4"/>
      </w:rPr>
      <w:instrText xml:space="preserve">PAGE  </w:instrText>
    </w:r>
    <w:r>
      <w:rPr>
        <w:rStyle w:val="af4"/>
      </w:rPr>
      <w:fldChar w:fldCharType="separate"/>
    </w:r>
    <w:r w:rsidR="0071344D">
      <w:rPr>
        <w:rStyle w:val="af4"/>
        <w:noProof/>
      </w:rPr>
      <w:t>36</w:t>
    </w:r>
    <w:r>
      <w:rPr>
        <w:rStyle w:val="af4"/>
      </w:rPr>
      <w:fldChar w:fldCharType="end"/>
    </w:r>
  </w:p>
  <w:p w14:paraId="20A0DBF7" w14:textId="77777777" w:rsidR="00AC5757" w:rsidRDefault="00AC5757">
    <w:pPr>
      <w:pStyle w:val="1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9FBA" w14:textId="77777777" w:rsidR="00E644C9" w:rsidRDefault="00E644C9">
      <w:r>
        <w:separator/>
      </w:r>
    </w:p>
  </w:footnote>
  <w:footnote w:type="continuationSeparator" w:id="0">
    <w:p w14:paraId="24B8D1B0" w14:textId="77777777" w:rsidR="00E644C9" w:rsidRDefault="00E6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797F" w14:textId="15052259" w:rsidR="00AC5757" w:rsidRDefault="00AC5757">
    <w:pPr>
      <w:pStyle w:val="12"/>
      <w:jc w:val="both"/>
    </w:pPr>
    <w:r>
      <w:rPr>
        <w:rFonts w:ascii="宋体" w:hAnsi="宋体" w:hint="eastAsia"/>
        <w:sz w:val="21"/>
        <w:szCs w:val="21"/>
      </w:rPr>
      <w:t xml:space="preserve">平安策略回报混合型证券投资基金                   </w:t>
    </w:r>
    <w:r>
      <w:t xml:space="preserve">                              </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8013" w14:textId="1D604054" w:rsidR="00AC5757" w:rsidRDefault="00AC5757">
    <w:pPr>
      <w:pStyle w:val="12"/>
      <w:jc w:val="both"/>
    </w:pPr>
    <w:r>
      <w:rPr>
        <w:rFonts w:ascii="宋体" w:hAnsi="宋体" w:hint="eastAsia"/>
        <w:sz w:val="21"/>
        <w:szCs w:val="21"/>
      </w:rPr>
      <w:t>平安策略回报</w:t>
    </w:r>
    <w:r>
      <w:rPr>
        <w:rFonts w:ascii="宋体" w:hAnsi="宋体"/>
        <w:sz w:val="21"/>
        <w:szCs w:val="21"/>
      </w:rPr>
      <w:t>混合型</w:t>
    </w:r>
    <w:r>
      <w:rPr>
        <w:rFonts w:ascii="宋体" w:hAnsi="宋体" w:hint="eastAsia"/>
        <w:sz w:val="21"/>
        <w:szCs w:val="21"/>
      </w:rPr>
      <w:t xml:space="preserve">证券投资基金                </w:t>
    </w:r>
    <w:r>
      <w:t xml:space="preserve">                             </w:t>
    </w:r>
    <w:r>
      <w:rPr>
        <w:rFonts w:hint="eastAsia"/>
      </w:rPr>
      <w:t xml:space="preserve">   </w:t>
    </w:r>
    <w:r>
      <w:rPr>
        <w:rFonts w:hint="eastAsia"/>
      </w:rPr>
      <w:t>托管协议</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B4C"/>
    <w:multiLevelType w:val="hybridMultilevel"/>
    <w:tmpl w:val="AAF648FA"/>
    <w:lvl w:ilvl="0" w:tplc="09D6CCA6">
      <w:start w:val="1"/>
      <w:numFmt w:val="decimal"/>
      <w:lvlText w:val="（%1）"/>
      <w:lvlJc w:val="left"/>
      <w:pPr>
        <w:snapToGrid/>
        <w:ind w:left="1545" w:hanging="1065"/>
      </w:pPr>
      <w:rPr>
        <w:rFonts w:hint="default"/>
      </w:rPr>
    </w:lvl>
    <w:lvl w:ilvl="1" w:tplc="766453EA">
      <w:start w:val="1"/>
      <w:numFmt w:val="lowerLetter"/>
      <w:lvlText w:val="%2)"/>
      <w:lvlJc w:val="left"/>
      <w:pPr>
        <w:snapToGrid/>
        <w:ind w:left="1320" w:hanging="420"/>
      </w:pPr>
    </w:lvl>
    <w:lvl w:ilvl="2" w:tplc="C324D618">
      <w:start w:val="1"/>
      <w:numFmt w:val="lowerRoman"/>
      <w:lvlText w:val="%3."/>
      <w:lvlJc w:val="right"/>
      <w:pPr>
        <w:snapToGrid/>
        <w:ind w:left="1740" w:hanging="420"/>
      </w:pPr>
    </w:lvl>
    <w:lvl w:ilvl="3" w:tplc="DA14E3B2">
      <w:start w:val="1"/>
      <w:numFmt w:val="decimal"/>
      <w:lvlText w:val="%4."/>
      <w:lvlJc w:val="left"/>
      <w:pPr>
        <w:snapToGrid/>
        <w:ind w:left="2160" w:hanging="420"/>
      </w:pPr>
    </w:lvl>
    <w:lvl w:ilvl="4" w:tplc="D2801A98">
      <w:start w:val="1"/>
      <w:numFmt w:val="lowerLetter"/>
      <w:lvlText w:val="%5)"/>
      <w:lvlJc w:val="left"/>
      <w:pPr>
        <w:snapToGrid/>
        <w:ind w:left="2580" w:hanging="420"/>
      </w:pPr>
    </w:lvl>
    <w:lvl w:ilvl="5" w:tplc="7AFEDEB8">
      <w:start w:val="1"/>
      <w:numFmt w:val="lowerRoman"/>
      <w:lvlText w:val="%6."/>
      <w:lvlJc w:val="right"/>
      <w:pPr>
        <w:snapToGrid/>
        <w:ind w:left="3000" w:hanging="420"/>
      </w:pPr>
    </w:lvl>
    <w:lvl w:ilvl="6" w:tplc="BD12CAAC">
      <w:start w:val="1"/>
      <w:numFmt w:val="decimal"/>
      <w:lvlText w:val="%7."/>
      <w:lvlJc w:val="left"/>
      <w:pPr>
        <w:snapToGrid/>
        <w:ind w:left="3420" w:hanging="420"/>
      </w:pPr>
    </w:lvl>
    <w:lvl w:ilvl="7" w:tplc="E4F64D0E">
      <w:start w:val="1"/>
      <w:numFmt w:val="lowerLetter"/>
      <w:lvlText w:val="%8)"/>
      <w:lvlJc w:val="left"/>
      <w:pPr>
        <w:snapToGrid/>
        <w:ind w:left="3840" w:hanging="420"/>
      </w:pPr>
    </w:lvl>
    <w:lvl w:ilvl="8" w:tplc="61BE45F8">
      <w:start w:val="1"/>
      <w:numFmt w:val="lowerRoman"/>
      <w:lvlText w:val="%9."/>
      <w:lvlJc w:val="right"/>
      <w:pPr>
        <w:snapToGrid/>
        <w:ind w:left="4260" w:hanging="420"/>
      </w:pPr>
    </w:lvl>
  </w:abstractNum>
  <w:abstractNum w:abstractNumId="1" w15:restartNumberingAfterBreak="0">
    <w:nsid w:val="0D232B93"/>
    <w:multiLevelType w:val="hybridMultilevel"/>
    <w:tmpl w:val="DE227236"/>
    <w:lvl w:ilvl="0" w:tplc="1E40E040">
      <w:start w:val="1"/>
      <w:numFmt w:val="decimal"/>
      <w:lvlText w:val="(%1)"/>
      <w:lvlJc w:val="left"/>
      <w:pPr>
        <w:tabs>
          <w:tab w:val="num" w:pos="465"/>
        </w:tabs>
        <w:snapToGrid/>
        <w:ind w:left="465" w:hanging="360"/>
      </w:pPr>
      <w:rPr>
        <w:rFonts w:cs="Times New Roman" w:hint="default"/>
      </w:rPr>
    </w:lvl>
    <w:lvl w:ilvl="1" w:tplc="84D2138C">
      <w:start w:val="1"/>
      <w:numFmt w:val="lowerLetter"/>
      <w:lvlText w:val="%2)"/>
      <w:lvlJc w:val="left"/>
      <w:pPr>
        <w:tabs>
          <w:tab w:val="num" w:pos="945"/>
        </w:tabs>
        <w:snapToGrid/>
        <w:ind w:left="945" w:hanging="420"/>
      </w:pPr>
      <w:rPr>
        <w:rFonts w:cs="Times New Roman"/>
      </w:rPr>
    </w:lvl>
    <w:lvl w:ilvl="2" w:tplc="6A5A9056">
      <w:start w:val="1"/>
      <w:numFmt w:val="lowerRoman"/>
      <w:lvlText w:val="%3."/>
      <w:lvlJc w:val="right"/>
      <w:pPr>
        <w:tabs>
          <w:tab w:val="num" w:pos="1365"/>
        </w:tabs>
        <w:snapToGrid/>
        <w:ind w:left="1365" w:hanging="420"/>
      </w:pPr>
      <w:rPr>
        <w:rFonts w:cs="Times New Roman"/>
      </w:rPr>
    </w:lvl>
    <w:lvl w:ilvl="3" w:tplc="95FE970A">
      <w:start w:val="1"/>
      <w:numFmt w:val="decimal"/>
      <w:lvlText w:val="%4."/>
      <w:lvlJc w:val="left"/>
      <w:pPr>
        <w:tabs>
          <w:tab w:val="num" w:pos="1785"/>
        </w:tabs>
        <w:snapToGrid/>
        <w:ind w:left="1785" w:hanging="420"/>
      </w:pPr>
      <w:rPr>
        <w:rFonts w:cs="Times New Roman"/>
      </w:rPr>
    </w:lvl>
    <w:lvl w:ilvl="4" w:tplc="BEF0A85A">
      <w:start w:val="1"/>
      <w:numFmt w:val="lowerLetter"/>
      <w:lvlText w:val="%5)"/>
      <w:lvlJc w:val="left"/>
      <w:pPr>
        <w:tabs>
          <w:tab w:val="num" w:pos="2205"/>
        </w:tabs>
        <w:snapToGrid/>
        <w:ind w:left="2205" w:hanging="420"/>
      </w:pPr>
      <w:rPr>
        <w:rFonts w:cs="Times New Roman"/>
      </w:rPr>
    </w:lvl>
    <w:lvl w:ilvl="5" w:tplc="1FEAD8B0">
      <w:start w:val="1"/>
      <w:numFmt w:val="lowerRoman"/>
      <w:lvlText w:val="%6."/>
      <w:lvlJc w:val="right"/>
      <w:pPr>
        <w:tabs>
          <w:tab w:val="num" w:pos="2625"/>
        </w:tabs>
        <w:snapToGrid/>
        <w:ind w:left="2625" w:hanging="420"/>
      </w:pPr>
      <w:rPr>
        <w:rFonts w:cs="Times New Roman"/>
      </w:rPr>
    </w:lvl>
    <w:lvl w:ilvl="6" w:tplc="541057AA">
      <w:start w:val="1"/>
      <w:numFmt w:val="decimal"/>
      <w:lvlText w:val="%7."/>
      <w:lvlJc w:val="left"/>
      <w:pPr>
        <w:tabs>
          <w:tab w:val="num" w:pos="3045"/>
        </w:tabs>
        <w:snapToGrid/>
        <w:ind w:left="3045" w:hanging="420"/>
      </w:pPr>
      <w:rPr>
        <w:rFonts w:cs="Times New Roman"/>
      </w:rPr>
    </w:lvl>
    <w:lvl w:ilvl="7" w:tplc="7BC6F584">
      <w:start w:val="1"/>
      <w:numFmt w:val="lowerLetter"/>
      <w:lvlText w:val="%8)"/>
      <w:lvlJc w:val="left"/>
      <w:pPr>
        <w:tabs>
          <w:tab w:val="num" w:pos="3465"/>
        </w:tabs>
        <w:snapToGrid/>
        <w:ind w:left="3465" w:hanging="420"/>
      </w:pPr>
      <w:rPr>
        <w:rFonts w:cs="Times New Roman"/>
      </w:rPr>
    </w:lvl>
    <w:lvl w:ilvl="8" w:tplc="4D5C1358">
      <w:start w:val="1"/>
      <w:numFmt w:val="lowerRoman"/>
      <w:lvlText w:val="%9."/>
      <w:lvlJc w:val="right"/>
      <w:pPr>
        <w:tabs>
          <w:tab w:val="num" w:pos="3885"/>
        </w:tabs>
        <w:snapToGrid/>
        <w:ind w:left="3885" w:hanging="420"/>
      </w:pPr>
      <w:rPr>
        <w:rFonts w:cs="Times New Roman"/>
      </w:rPr>
    </w:lvl>
  </w:abstractNum>
  <w:abstractNum w:abstractNumId="2" w15:restartNumberingAfterBreak="0">
    <w:nsid w:val="10F7167D"/>
    <w:multiLevelType w:val="hybridMultilevel"/>
    <w:tmpl w:val="FFF01FEA"/>
    <w:lvl w:ilvl="0" w:tplc="D1E4C334">
      <w:start w:val="1"/>
      <w:numFmt w:val="decimal"/>
      <w:lvlText w:val="（%1）"/>
      <w:lvlJc w:val="left"/>
      <w:pPr>
        <w:snapToGrid/>
        <w:ind w:left="2040" w:hanging="1080"/>
      </w:pPr>
      <w:rPr>
        <w:rFonts w:hint="default"/>
      </w:rPr>
    </w:lvl>
    <w:lvl w:ilvl="1" w:tplc="4D589368">
      <w:start w:val="1"/>
      <w:numFmt w:val="lowerLetter"/>
      <w:lvlText w:val="%2)"/>
      <w:lvlJc w:val="left"/>
      <w:pPr>
        <w:snapToGrid/>
        <w:ind w:left="1320" w:hanging="420"/>
      </w:pPr>
    </w:lvl>
    <w:lvl w:ilvl="2" w:tplc="805A705C">
      <w:start w:val="1"/>
      <w:numFmt w:val="lowerRoman"/>
      <w:lvlText w:val="%3."/>
      <w:lvlJc w:val="right"/>
      <w:pPr>
        <w:snapToGrid/>
        <w:ind w:left="1740" w:hanging="420"/>
      </w:pPr>
    </w:lvl>
    <w:lvl w:ilvl="3" w:tplc="E9B20172">
      <w:start w:val="1"/>
      <w:numFmt w:val="decimal"/>
      <w:lvlText w:val="%4."/>
      <w:lvlJc w:val="left"/>
      <w:pPr>
        <w:snapToGrid/>
        <w:ind w:left="2160" w:hanging="420"/>
      </w:pPr>
    </w:lvl>
    <w:lvl w:ilvl="4" w:tplc="C478D760">
      <w:start w:val="1"/>
      <w:numFmt w:val="lowerLetter"/>
      <w:lvlText w:val="%5)"/>
      <w:lvlJc w:val="left"/>
      <w:pPr>
        <w:snapToGrid/>
        <w:ind w:left="2580" w:hanging="420"/>
      </w:pPr>
    </w:lvl>
    <w:lvl w:ilvl="5" w:tplc="22C67BE2">
      <w:start w:val="1"/>
      <w:numFmt w:val="lowerRoman"/>
      <w:lvlText w:val="%6."/>
      <w:lvlJc w:val="right"/>
      <w:pPr>
        <w:snapToGrid/>
        <w:ind w:left="3000" w:hanging="420"/>
      </w:pPr>
    </w:lvl>
    <w:lvl w:ilvl="6" w:tplc="FBB27422">
      <w:start w:val="1"/>
      <w:numFmt w:val="decimal"/>
      <w:lvlText w:val="%7."/>
      <w:lvlJc w:val="left"/>
      <w:pPr>
        <w:snapToGrid/>
        <w:ind w:left="3420" w:hanging="420"/>
      </w:pPr>
    </w:lvl>
    <w:lvl w:ilvl="7" w:tplc="B3E038AE">
      <w:start w:val="1"/>
      <w:numFmt w:val="lowerLetter"/>
      <w:lvlText w:val="%8)"/>
      <w:lvlJc w:val="left"/>
      <w:pPr>
        <w:snapToGrid/>
        <w:ind w:left="3840" w:hanging="420"/>
      </w:pPr>
    </w:lvl>
    <w:lvl w:ilvl="8" w:tplc="C6D2E652">
      <w:start w:val="1"/>
      <w:numFmt w:val="lowerRoman"/>
      <w:lvlText w:val="%9."/>
      <w:lvlJc w:val="right"/>
      <w:pPr>
        <w:snapToGrid/>
        <w:ind w:left="4260" w:hanging="420"/>
      </w:pPr>
    </w:lvl>
  </w:abstractNum>
  <w:abstractNum w:abstractNumId="3" w15:restartNumberingAfterBreak="0">
    <w:nsid w:val="14C6351F"/>
    <w:multiLevelType w:val="hybridMultilevel"/>
    <w:tmpl w:val="43020058"/>
    <w:lvl w:ilvl="0" w:tplc="7E8AF948">
      <w:start w:val="1"/>
      <w:numFmt w:val="decimal"/>
      <w:lvlText w:val="%1）"/>
      <w:lvlJc w:val="left"/>
      <w:pPr>
        <w:tabs>
          <w:tab w:val="num" w:pos="840"/>
        </w:tabs>
        <w:snapToGrid/>
        <w:ind w:left="840" w:hanging="420"/>
      </w:pPr>
      <w:rPr>
        <w:rFonts w:ascii="Times New Roman" w:eastAsia="宋体" w:hAnsi="Times New Roman" w:cs="Times New Roman"/>
      </w:rPr>
    </w:lvl>
    <w:lvl w:ilvl="1" w:tplc="D67874EA">
      <w:start w:val="1"/>
      <w:numFmt w:val="lowerLetter"/>
      <w:lvlText w:val="%2)"/>
      <w:lvlJc w:val="left"/>
      <w:pPr>
        <w:tabs>
          <w:tab w:val="num" w:pos="840"/>
        </w:tabs>
        <w:snapToGrid/>
        <w:ind w:left="840" w:hanging="420"/>
      </w:pPr>
      <w:rPr>
        <w:rFonts w:cs="Times New Roman"/>
      </w:rPr>
    </w:lvl>
    <w:lvl w:ilvl="2" w:tplc="BC28FCBC">
      <w:start w:val="1"/>
      <w:numFmt w:val="lowerRoman"/>
      <w:lvlText w:val="%3."/>
      <w:lvlJc w:val="right"/>
      <w:pPr>
        <w:tabs>
          <w:tab w:val="num" w:pos="1260"/>
        </w:tabs>
        <w:snapToGrid/>
        <w:ind w:left="1260" w:hanging="420"/>
      </w:pPr>
      <w:rPr>
        <w:rFonts w:cs="Times New Roman"/>
      </w:rPr>
    </w:lvl>
    <w:lvl w:ilvl="3" w:tplc="55A282C4">
      <w:start w:val="1"/>
      <w:numFmt w:val="decimal"/>
      <w:lvlText w:val="%4."/>
      <w:lvlJc w:val="left"/>
      <w:pPr>
        <w:tabs>
          <w:tab w:val="num" w:pos="1680"/>
        </w:tabs>
        <w:snapToGrid/>
        <w:ind w:left="1680" w:hanging="420"/>
      </w:pPr>
      <w:rPr>
        <w:rFonts w:cs="Times New Roman"/>
      </w:rPr>
    </w:lvl>
    <w:lvl w:ilvl="4" w:tplc="2DE2AE0C">
      <w:start w:val="1"/>
      <w:numFmt w:val="lowerLetter"/>
      <w:lvlText w:val="%5)"/>
      <w:lvlJc w:val="left"/>
      <w:pPr>
        <w:tabs>
          <w:tab w:val="num" w:pos="2100"/>
        </w:tabs>
        <w:snapToGrid/>
        <w:ind w:left="2100" w:hanging="420"/>
      </w:pPr>
      <w:rPr>
        <w:rFonts w:cs="Times New Roman"/>
      </w:rPr>
    </w:lvl>
    <w:lvl w:ilvl="5" w:tplc="8F2286A4">
      <w:start w:val="1"/>
      <w:numFmt w:val="lowerRoman"/>
      <w:lvlText w:val="%6."/>
      <w:lvlJc w:val="right"/>
      <w:pPr>
        <w:tabs>
          <w:tab w:val="num" w:pos="2520"/>
        </w:tabs>
        <w:snapToGrid/>
        <w:ind w:left="2520" w:hanging="420"/>
      </w:pPr>
      <w:rPr>
        <w:rFonts w:cs="Times New Roman"/>
      </w:rPr>
    </w:lvl>
    <w:lvl w:ilvl="6" w:tplc="E9EEEF48">
      <w:start w:val="1"/>
      <w:numFmt w:val="decimal"/>
      <w:lvlText w:val="%7."/>
      <w:lvlJc w:val="left"/>
      <w:pPr>
        <w:tabs>
          <w:tab w:val="num" w:pos="2940"/>
        </w:tabs>
        <w:snapToGrid/>
        <w:ind w:left="2940" w:hanging="420"/>
      </w:pPr>
      <w:rPr>
        <w:rFonts w:cs="Times New Roman"/>
      </w:rPr>
    </w:lvl>
    <w:lvl w:ilvl="7" w:tplc="52260588">
      <w:start w:val="1"/>
      <w:numFmt w:val="lowerLetter"/>
      <w:lvlText w:val="%8)"/>
      <w:lvlJc w:val="left"/>
      <w:pPr>
        <w:tabs>
          <w:tab w:val="num" w:pos="3360"/>
        </w:tabs>
        <w:snapToGrid/>
        <w:ind w:left="3360" w:hanging="420"/>
      </w:pPr>
      <w:rPr>
        <w:rFonts w:cs="Times New Roman"/>
      </w:rPr>
    </w:lvl>
    <w:lvl w:ilvl="8" w:tplc="71681AC4">
      <w:start w:val="1"/>
      <w:numFmt w:val="lowerRoman"/>
      <w:lvlText w:val="%9."/>
      <w:lvlJc w:val="right"/>
      <w:pPr>
        <w:tabs>
          <w:tab w:val="num" w:pos="3780"/>
        </w:tabs>
        <w:snapToGrid/>
        <w:ind w:left="3780" w:hanging="420"/>
      </w:pPr>
      <w:rPr>
        <w:rFonts w:cs="Times New Roman"/>
      </w:rPr>
    </w:lvl>
  </w:abstractNum>
  <w:abstractNum w:abstractNumId="4" w15:restartNumberingAfterBreak="0">
    <w:nsid w:val="156923F5"/>
    <w:multiLevelType w:val="hybridMultilevel"/>
    <w:tmpl w:val="39782BE2"/>
    <w:lvl w:ilvl="0" w:tplc="E2881BA6">
      <w:start w:val="1"/>
      <w:numFmt w:val="decimal"/>
      <w:lvlText w:val="（%1）"/>
      <w:lvlJc w:val="left"/>
      <w:pPr>
        <w:tabs>
          <w:tab w:val="num" w:pos="720"/>
        </w:tabs>
        <w:snapToGrid/>
        <w:ind w:left="720" w:hanging="720"/>
      </w:pPr>
      <w:rPr>
        <w:rFonts w:cs="Times New Roman" w:hint="default"/>
      </w:rPr>
    </w:lvl>
    <w:lvl w:ilvl="1" w:tplc="33B28E8E">
      <w:start w:val="1"/>
      <w:numFmt w:val="lowerLetter"/>
      <w:lvlText w:val="%2)"/>
      <w:lvlJc w:val="left"/>
      <w:pPr>
        <w:tabs>
          <w:tab w:val="num" w:pos="840"/>
        </w:tabs>
        <w:snapToGrid/>
        <w:ind w:left="840" w:hanging="420"/>
      </w:pPr>
      <w:rPr>
        <w:rFonts w:cs="Times New Roman"/>
      </w:rPr>
    </w:lvl>
    <w:lvl w:ilvl="2" w:tplc="6702462A">
      <w:start w:val="1"/>
      <w:numFmt w:val="lowerRoman"/>
      <w:lvlText w:val="%3."/>
      <w:lvlJc w:val="right"/>
      <w:pPr>
        <w:tabs>
          <w:tab w:val="num" w:pos="1260"/>
        </w:tabs>
        <w:snapToGrid/>
        <w:ind w:left="1260" w:hanging="420"/>
      </w:pPr>
      <w:rPr>
        <w:rFonts w:cs="Times New Roman"/>
      </w:rPr>
    </w:lvl>
    <w:lvl w:ilvl="3" w:tplc="467A220C">
      <w:start w:val="1"/>
      <w:numFmt w:val="decimal"/>
      <w:lvlText w:val="%4."/>
      <w:lvlJc w:val="left"/>
      <w:pPr>
        <w:tabs>
          <w:tab w:val="num" w:pos="1680"/>
        </w:tabs>
        <w:snapToGrid/>
        <w:ind w:left="1680" w:hanging="420"/>
      </w:pPr>
      <w:rPr>
        <w:rFonts w:cs="Times New Roman"/>
      </w:rPr>
    </w:lvl>
    <w:lvl w:ilvl="4" w:tplc="9C563DB6">
      <w:start w:val="1"/>
      <w:numFmt w:val="lowerLetter"/>
      <w:lvlText w:val="%5)"/>
      <w:lvlJc w:val="left"/>
      <w:pPr>
        <w:tabs>
          <w:tab w:val="num" w:pos="2100"/>
        </w:tabs>
        <w:snapToGrid/>
        <w:ind w:left="2100" w:hanging="420"/>
      </w:pPr>
      <w:rPr>
        <w:rFonts w:cs="Times New Roman"/>
      </w:rPr>
    </w:lvl>
    <w:lvl w:ilvl="5" w:tplc="EB98A8A2">
      <w:start w:val="1"/>
      <w:numFmt w:val="lowerRoman"/>
      <w:lvlText w:val="%6."/>
      <w:lvlJc w:val="right"/>
      <w:pPr>
        <w:tabs>
          <w:tab w:val="num" w:pos="2520"/>
        </w:tabs>
        <w:snapToGrid/>
        <w:ind w:left="2520" w:hanging="420"/>
      </w:pPr>
      <w:rPr>
        <w:rFonts w:cs="Times New Roman"/>
      </w:rPr>
    </w:lvl>
    <w:lvl w:ilvl="6" w:tplc="0206F52A">
      <w:start w:val="1"/>
      <w:numFmt w:val="decimal"/>
      <w:lvlText w:val="%7."/>
      <w:lvlJc w:val="left"/>
      <w:pPr>
        <w:tabs>
          <w:tab w:val="num" w:pos="2940"/>
        </w:tabs>
        <w:snapToGrid/>
        <w:ind w:left="2940" w:hanging="420"/>
      </w:pPr>
      <w:rPr>
        <w:rFonts w:cs="Times New Roman"/>
      </w:rPr>
    </w:lvl>
    <w:lvl w:ilvl="7" w:tplc="F24878FE">
      <w:start w:val="1"/>
      <w:numFmt w:val="lowerLetter"/>
      <w:lvlText w:val="%8)"/>
      <w:lvlJc w:val="left"/>
      <w:pPr>
        <w:tabs>
          <w:tab w:val="num" w:pos="3360"/>
        </w:tabs>
        <w:snapToGrid/>
        <w:ind w:left="3360" w:hanging="420"/>
      </w:pPr>
      <w:rPr>
        <w:rFonts w:cs="Times New Roman"/>
      </w:rPr>
    </w:lvl>
    <w:lvl w:ilvl="8" w:tplc="0B842FEE">
      <w:start w:val="1"/>
      <w:numFmt w:val="lowerRoman"/>
      <w:lvlText w:val="%9."/>
      <w:lvlJc w:val="right"/>
      <w:pPr>
        <w:tabs>
          <w:tab w:val="num" w:pos="3780"/>
        </w:tabs>
        <w:snapToGrid/>
        <w:ind w:left="3780" w:hanging="420"/>
      </w:pPr>
      <w:rPr>
        <w:rFonts w:cs="Times New Roman"/>
      </w:rPr>
    </w:lvl>
  </w:abstractNum>
  <w:abstractNum w:abstractNumId="5" w15:restartNumberingAfterBreak="0">
    <w:nsid w:val="1A736557"/>
    <w:multiLevelType w:val="hybridMultilevel"/>
    <w:tmpl w:val="29CE0B64"/>
    <w:lvl w:ilvl="0" w:tplc="6B5AC670">
      <w:start w:val="1"/>
      <w:numFmt w:val="decimal"/>
      <w:lvlText w:val="（%1）"/>
      <w:lvlJc w:val="left"/>
      <w:pPr>
        <w:tabs>
          <w:tab w:val="num" w:pos="840"/>
        </w:tabs>
        <w:snapToGrid/>
        <w:ind w:left="840" w:hanging="420"/>
      </w:pPr>
      <w:rPr>
        <w:rFonts w:ascii="宋体" w:eastAsia="宋体" w:hAnsi="宋体" w:cs="宋体"/>
      </w:rPr>
    </w:lvl>
    <w:lvl w:ilvl="1" w:tplc="74E85B52">
      <w:start w:val="1"/>
      <w:numFmt w:val="bullet"/>
      <w:lvlText w:val=""/>
      <w:lvlJc w:val="left"/>
      <w:pPr>
        <w:tabs>
          <w:tab w:val="num" w:pos="1260"/>
        </w:tabs>
        <w:snapToGrid/>
        <w:ind w:left="1260" w:hanging="420"/>
      </w:pPr>
      <w:rPr>
        <w:rFonts w:ascii="Wingdings" w:hAnsi="Wingdings" w:hint="default"/>
      </w:rPr>
    </w:lvl>
    <w:lvl w:ilvl="2" w:tplc="D02481FC">
      <w:start w:val="1"/>
      <w:numFmt w:val="bullet"/>
      <w:lvlText w:val=""/>
      <w:lvlJc w:val="left"/>
      <w:pPr>
        <w:tabs>
          <w:tab w:val="num" w:pos="1680"/>
        </w:tabs>
        <w:snapToGrid/>
        <w:ind w:left="1680" w:hanging="420"/>
      </w:pPr>
      <w:rPr>
        <w:rFonts w:ascii="Wingdings" w:hAnsi="Wingdings" w:hint="default"/>
      </w:rPr>
    </w:lvl>
    <w:lvl w:ilvl="3" w:tplc="FEB4F632">
      <w:start w:val="1"/>
      <w:numFmt w:val="bullet"/>
      <w:lvlText w:val=""/>
      <w:lvlJc w:val="left"/>
      <w:pPr>
        <w:tabs>
          <w:tab w:val="num" w:pos="2100"/>
        </w:tabs>
        <w:snapToGrid/>
        <w:ind w:left="2100" w:hanging="420"/>
      </w:pPr>
      <w:rPr>
        <w:rFonts w:ascii="Wingdings" w:hAnsi="Wingdings" w:hint="default"/>
      </w:rPr>
    </w:lvl>
    <w:lvl w:ilvl="4" w:tplc="91F608DE">
      <w:start w:val="1"/>
      <w:numFmt w:val="bullet"/>
      <w:lvlText w:val=""/>
      <w:lvlJc w:val="left"/>
      <w:pPr>
        <w:tabs>
          <w:tab w:val="num" w:pos="2520"/>
        </w:tabs>
        <w:snapToGrid/>
        <w:ind w:left="2520" w:hanging="420"/>
      </w:pPr>
      <w:rPr>
        <w:rFonts w:ascii="Wingdings" w:hAnsi="Wingdings" w:hint="default"/>
      </w:rPr>
    </w:lvl>
    <w:lvl w:ilvl="5" w:tplc="7CE87798">
      <w:start w:val="1"/>
      <w:numFmt w:val="bullet"/>
      <w:lvlText w:val=""/>
      <w:lvlJc w:val="left"/>
      <w:pPr>
        <w:tabs>
          <w:tab w:val="num" w:pos="2940"/>
        </w:tabs>
        <w:snapToGrid/>
        <w:ind w:left="2940" w:hanging="420"/>
      </w:pPr>
      <w:rPr>
        <w:rFonts w:ascii="Wingdings" w:hAnsi="Wingdings" w:hint="default"/>
      </w:rPr>
    </w:lvl>
    <w:lvl w:ilvl="6" w:tplc="9CB8BE4C">
      <w:start w:val="1"/>
      <w:numFmt w:val="bullet"/>
      <w:lvlText w:val=""/>
      <w:lvlJc w:val="left"/>
      <w:pPr>
        <w:tabs>
          <w:tab w:val="num" w:pos="3360"/>
        </w:tabs>
        <w:snapToGrid/>
        <w:ind w:left="3360" w:hanging="420"/>
      </w:pPr>
      <w:rPr>
        <w:rFonts w:ascii="Wingdings" w:hAnsi="Wingdings" w:hint="default"/>
      </w:rPr>
    </w:lvl>
    <w:lvl w:ilvl="7" w:tplc="DEC2675E">
      <w:start w:val="1"/>
      <w:numFmt w:val="bullet"/>
      <w:lvlText w:val=""/>
      <w:lvlJc w:val="left"/>
      <w:pPr>
        <w:tabs>
          <w:tab w:val="num" w:pos="3780"/>
        </w:tabs>
        <w:snapToGrid/>
        <w:ind w:left="3780" w:hanging="420"/>
      </w:pPr>
      <w:rPr>
        <w:rFonts w:ascii="Wingdings" w:hAnsi="Wingdings" w:hint="default"/>
      </w:rPr>
    </w:lvl>
    <w:lvl w:ilvl="8" w:tplc="DCB6E750">
      <w:start w:val="1"/>
      <w:numFmt w:val="bullet"/>
      <w:lvlText w:val=""/>
      <w:lvlJc w:val="left"/>
      <w:pPr>
        <w:tabs>
          <w:tab w:val="num" w:pos="4200"/>
        </w:tabs>
        <w:snapToGrid/>
        <w:ind w:left="4200" w:hanging="420"/>
      </w:pPr>
      <w:rPr>
        <w:rFonts w:ascii="Wingdings" w:hAnsi="Wingdings" w:hint="default"/>
      </w:rPr>
    </w:lvl>
  </w:abstractNum>
  <w:abstractNum w:abstractNumId="6" w15:restartNumberingAfterBreak="0">
    <w:nsid w:val="20B21455"/>
    <w:multiLevelType w:val="hybridMultilevel"/>
    <w:tmpl w:val="793C7B44"/>
    <w:lvl w:ilvl="0" w:tplc="3CA274BC">
      <w:start w:val="1"/>
      <w:numFmt w:val="decimal"/>
      <w:lvlText w:val="%1."/>
      <w:lvlJc w:val="left"/>
      <w:pPr>
        <w:snapToGrid/>
        <w:ind w:left="900" w:hanging="420"/>
      </w:pPr>
      <w:rPr>
        <w:rFonts w:hint="eastAsia"/>
      </w:rPr>
    </w:lvl>
    <w:lvl w:ilvl="1" w:tplc="D76CD1D6">
      <w:start w:val="1"/>
      <w:numFmt w:val="lowerLetter"/>
      <w:lvlText w:val="%2)"/>
      <w:lvlJc w:val="left"/>
      <w:pPr>
        <w:snapToGrid/>
        <w:ind w:left="1320" w:hanging="420"/>
      </w:pPr>
    </w:lvl>
    <w:lvl w:ilvl="2" w:tplc="7696DF38">
      <w:start w:val="1"/>
      <w:numFmt w:val="lowerRoman"/>
      <w:lvlText w:val="%3."/>
      <w:lvlJc w:val="right"/>
      <w:pPr>
        <w:snapToGrid/>
        <w:ind w:left="1740" w:hanging="420"/>
      </w:pPr>
    </w:lvl>
    <w:lvl w:ilvl="3" w:tplc="143EDB28">
      <w:start w:val="1"/>
      <w:numFmt w:val="decimal"/>
      <w:lvlText w:val="%4."/>
      <w:lvlJc w:val="left"/>
      <w:pPr>
        <w:snapToGrid/>
        <w:ind w:left="2160" w:hanging="420"/>
      </w:pPr>
    </w:lvl>
    <w:lvl w:ilvl="4" w:tplc="2CD8C83A">
      <w:start w:val="1"/>
      <w:numFmt w:val="lowerLetter"/>
      <w:lvlText w:val="%5)"/>
      <w:lvlJc w:val="left"/>
      <w:pPr>
        <w:snapToGrid/>
        <w:ind w:left="2580" w:hanging="420"/>
      </w:pPr>
    </w:lvl>
    <w:lvl w:ilvl="5" w:tplc="EF96F314">
      <w:start w:val="1"/>
      <w:numFmt w:val="lowerRoman"/>
      <w:lvlText w:val="%6."/>
      <w:lvlJc w:val="right"/>
      <w:pPr>
        <w:snapToGrid/>
        <w:ind w:left="3000" w:hanging="420"/>
      </w:pPr>
    </w:lvl>
    <w:lvl w:ilvl="6" w:tplc="DA1617F4">
      <w:start w:val="1"/>
      <w:numFmt w:val="decimal"/>
      <w:lvlText w:val="%7."/>
      <w:lvlJc w:val="left"/>
      <w:pPr>
        <w:snapToGrid/>
        <w:ind w:left="3420" w:hanging="420"/>
      </w:pPr>
    </w:lvl>
    <w:lvl w:ilvl="7" w:tplc="4E00C172">
      <w:start w:val="1"/>
      <w:numFmt w:val="lowerLetter"/>
      <w:lvlText w:val="%8)"/>
      <w:lvlJc w:val="left"/>
      <w:pPr>
        <w:snapToGrid/>
        <w:ind w:left="3840" w:hanging="420"/>
      </w:pPr>
    </w:lvl>
    <w:lvl w:ilvl="8" w:tplc="AD82CAC0">
      <w:start w:val="1"/>
      <w:numFmt w:val="lowerRoman"/>
      <w:lvlText w:val="%9."/>
      <w:lvlJc w:val="right"/>
      <w:pPr>
        <w:snapToGrid/>
        <w:ind w:left="4260" w:hanging="420"/>
      </w:pPr>
    </w:lvl>
  </w:abstractNum>
  <w:abstractNum w:abstractNumId="7" w15:restartNumberingAfterBreak="0">
    <w:nsid w:val="23775623"/>
    <w:multiLevelType w:val="hybridMultilevel"/>
    <w:tmpl w:val="793E9D32"/>
    <w:lvl w:ilvl="0" w:tplc="06AC4AD2">
      <w:start w:val="5"/>
      <w:numFmt w:val="decimal"/>
      <w:lvlText w:val="%1）"/>
      <w:lvlJc w:val="left"/>
      <w:pPr>
        <w:tabs>
          <w:tab w:val="num" w:pos="780"/>
        </w:tabs>
        <w:snapToGrid/>
        <w:ind w:left="780" w:hanging="360"/>
      </w:pPr>
      <w:rPr>
        <w:rFonts w:cs="Times New Roman" w:hint="default"/>
      </w:rPr>
    </w:lvl>
    <w:lvl w:ilvl="1" w:tplc="EB583700">
      <w:start w:val="1"/>
      <w:numFmt w:val="lowerLetter"/>
      <w:lvlText w:val="%2)"/>
      <w:lvlJc w:val="left"/>
      <w:pPr>
        <w:tabs>
          <w:tab w:val="num" w:pos="1260"/>
        </w:tabs>
        <w:snapToGrid/>
        <w:ind w:left="1260" w:hanging="420"/>
      </w:pPr>
      <w:rPr>
        <w:rFonts w:cs="Times New Roman"/>
      </w:rPr>
    </w:lvl>
    <w:lvl w:ilvl="2" w:tplc="586A4392">
      <w:start w:val="1"/>
      <w:numFmt w:val="lowerRoman"/>
      <w:lvlText w:val="%3."/>
      <w:lvlJc w:val="right"/>
      <w:pPr>
        <w:tabs>
          <w:tab w:val="num" w:pos="1680"/>
        </w:tabs>
        <w:snapToGrid/>
        <w:ind w:left="1680" w:hanging="420"/>
      </w:pPr>
      <w:rPr>
        <w:rFonts w:cs="Times New Roman"/>
      </w:rPr>
    </w:lvl>
    <w:lvl w:ilvl="3" w:tplc="CEA40B0C">
      <w:start w:val="1"/>
      <w:numFmt w:val="decimal"/>
      <w:lvlText w:val="%4."/>
      <w:lvlJc w:val="left"/>
      <w:pPr>
        <w:tabs>
          <w:tab w:val="num" w:pos="2100"/>
        </w:tabs>
        <w:snapToGrid/>
        <w:ind w:left="2100" w:hanging="420"/>
      </w:pPr>
      <w:rPr>
        <w:rFonts w:cs="Times New Roman"/>
      </w:rPr>
    </w:lvl>
    <w:lvl w:ilvl="4" w:tplc="243ED5F6">
      <w:start w:val="1"/>
      <w:numFmt w:val="lowerLetter"/>
      <w:lvlText w:val="%5)"/>
      <w:lvlJc w:val="left"/>
      <w:pPr>
        <w:tabs>
          <w:tab w:val="num" w:pos="2520"/>
        </w:tabs>
        <w:snapToGrid/>
        <w:ind w:left="2520" w:hanging="420"/>
      </w:pPr>
      <w:rPr>
        <w:rFonts w:cs="Times New Roman"/>
      </w:rPr>
    </w:lvl>
    <w:lvl w:ilvl="5" w:tplc="E8721090">
      <w:start w:val="1"/>
      <w:numFmt w:val="lowerRoman"/>
      <w:lvlText w:val="%6."/>
      <w:lvlJc w:val="right"/>
      <w:pPr>
        <w:tabs>
          <w:tab w:val="num" w:pos="2940"/>
        </w:tabs>
        <w:snapToGrid/>
        <w:ind w:left="2940" w:hanging="420"/>
      </w:pPr>
      <w:rPr>
        <w:rFonts w:cs="Times New Roman"/>
      </w:rPr>
    </w:lvl>
    <w:lvl w:ilvl="6" w:tplc="CC403312">
      <w:start w:val="1"/>
      <w:numFmt w:val="decimal"/>
      <w:lvlText w:val="%7."/>
      <w:lvlJc w:val="left"/>
      <w:pPr>
        <w:tabs>
          <w:tab w:val="num" w:pos="3360"/>
        </w:tabs>
        <w:snapToGrid/>
        <w:ind w:left="3360" w:hanging="420"/>
      </w:pPr>
      <w:rPr>
        <w:rFonts w:cs="Times New Roman"/>
      </w:rPr>
    </w:lvl>
    <w:lvl w:ilvl="7" w:tplc="C284CEDE">
      <w:start w:val="1"/>
      <w:numFmt w:val="lowerLetter"/>
      <w:lvlText w:val="%8)"/>
      <w:lvlJc w:val="left"/>
      <w:pPr>
        <w:tabs>
          <w:tab w:val="num" w:pos="3780"/>
        </w:tabs>
        <w:snapToGrid/>
        <w:ind w:left="3780" w:hanging="420"/>
      </w:pPr>
      <w:rPr>
        <w:rFonts w:cs="Times New Roman"/>
      </w:rPr>
    </w:lvl>
    <w:lvl w:ilvl="8" w:tplc="B49AE62C">
      <w:start w:val="1"/>
      <w:numFmt w:val="lowerRoman"/>
      <w:lvlText w:val="%9."/>
      <w:lvlJc w:val="right"/>
      <w:pPr>
        <w:tabs>
          <w:tab w:val="num" w:pos="4200"/>
        </w:tabs>
        <w:snapToGrid/>
        <w:ind w:left="4200" w:hanging="420"/>
      </w:pPr>
      <w:rPr>
        <w:rFonts w:cs="Times New Roman"/>
      </w:rPr>
    </w:lvl>
  </w:abstractNum>
  <w:abstractNum w:abstractNumId="8" w15:restartNumberingAfterBreak="0">
    <w:nsid w:val="268F7EF4"/>
    <w:multiLevelType w:val="hybridMultilevel"/>
    <w:tmpl w:val="7B5A8EFC"/>
    <w:lvl w:ilvl="0" w:tplc="0576CD6A">
      <w:start w:val="2"/>
      <w:numFmt w:val="decimal"/>
      <w:lvlText w:val="%1）"/>
      <w:lvlJc w:val="left"/>
      <w:pPr>
        <w:tabs>
          <w:tab w:val="num" w:pos="780"/>
        </w:tabs>
        <w:snapToGrid/>
        <w:ind w:left="780" w:hanging="360"/>
      </w:pPr>
      <w:rPr>
        <w:rFonts w:cs="Times New Roman" w:hint="default"/>
      </w:rPr>
    </w:lvl>
    <w:lvl w:ilvl="1" w:tplc="EDBE1AD8">
      <w:start w:val="1"/>
      <w:numFmt w:val="lowerLetter"/>
      <w:lvlText w:val="%2)"/>
      <w:lvlJc w:val="left"/>
      <w:pPr>
        <w:tabs>
          <w:tab w:val="num" w:pos="1260"/>
        </w:tabs>
        <w:snapToGrid/>
        <w:ind w:left="1260" w:hanging="420"/>
      </w:pPr>
      <w:rPr>
        <w:rFonts w:cs="Times New Roman"/>
      </w:rPr>
    </w:lvl>
    <w:lvl w:ilvl="2" w:tplc="5770C658">
      <w:start w:val="1"/>
      <w:numFmt w:val="lowerRoman"/>
      <w:lvlText w:val="%3."/>
      <w:lvlJc w:val="right"/>
      <w:pPr>
        <w:tabs>
          <w:tab w:val="num" w:pos="1680"/>
        </w:tabs>
        <w:snapToGrid/>
        <w:ind w:left="1680" w:hanging="420"/>
      </w:pPr>
      <w:rPr>
        <w:rFonts w:cs="Times New Roman"/>
      </w:rPr>
    </w:lvl>
    <w:lvl w:ilvl="3" w:tplc="BA54B1F0">
      <w:start w:val="1"/>
      <w:numFmt w:val="decimal"/>
      <w:lvlText w:val="%4."/>
      <w:lvlJc w:val="left"/>
      <w:pPr>
        <w:tabs>
          <w:tab w:val="num" w:pos="2100"/>
        </w:tabs>
        <w:snapToGrid/>
        <w:ind w:left="2100" w:hanging="420"/>
      </w:pPr>
      <w:rPr>
        <w:rFonts w:cs="Times New Roman"/>
      </w:rPr>
    </w:lvl>
    <w:lvl w:ilvl="4" w:tplc="E86E5B7E">
      <w:start w:val="1"/>
      <w:numFmt w:val="lowerLetter"/>
      <w:lvlText w:val="%5)"/>
      <w:lvlJc w:val="left"/>
      <w:pPr>
        <w:tabs>
          <w:tab w:val="num" w:pos="2520"/>
        </w:tabs>
        <w:snapToGrid/>
        <w:ind w:left="2520" w:hanging="420"/>
      </w:pPr>
      <w:rPr>
        <w:rFonts w:cs="Times New Roman"/>
      </w:rPr>
    </w:lvl>
    <w:lvl w:ilvl="5" w:tplc="8D9AD2D2">
      <w:start w:val="1"/>
      <w:numFmt w:val="lowerRoman"/>
      <w:lvlText w:val="%6."/>
      <w:lvlJc w:val="right"/>
      <w:pPr>
        <w:tabs>
          <w:tab w:val="num" w:pos="2940"/>
        </w:tabs>
        <w:snapToGrid/>
        <w:ind w:left="2940" w:hanging="420"/>
      </w:pPr>
      <w:rPr>
        <w:rFonts w:cs="Times New Roman"/>
      </w:rPr>
    </w:lvl>
    <w:lvl w:ilvl="6" w:tplc="54E65972">
      <w:start w:val="1"/>
      <w:numFmt w:val="decimal"/>
      <w:lvlText w:val="%7."/>
      <w:lvlJc w:val="left"/>
      <w:pPr>
        <w:tabs>
          <w:tab w:val="num" w:pos="3360"/>
        </w:tabs>
        <w:snapToGrid/>
        <w:ind w:left="3360" w:hanging="420"/>
      </w:pPr>
      <w:rPr>
        <w:rFonts w:cs="Times New Roman"/>
      </w:rPr>
    </w:lvl>
    <w:lvl w:ilvl="7" w:tplc="C396E402">
      <w:start w:val="1"/>
      <w:numFmt w:val="lowerLetter"/>
      <w:lvlText w:val="%8)"/>
      <w:lvlJc w:val="left"/>
      <w:pPr>
        <w:tabs>
          <w:tab w:val="num" w:pos="3780"/>
        </w:tabs>
        <w:snapToGrid/>
        <w:ind w:left="3780" w:hanging="420"/>
      </w:pPr>
      <w:rPr>
        <w:rFonts w:cs="Times New Roman"/>
      </w:rPr>
    </w:lvl>
    <w:lvl w:ilvl="8" w:tplc="CD086A92">
      <w:start w:val="1"/>
      <w:numFmt w:val="lowerRoman"/>
      <w:lvlText w:val="%9."/>
      <w:lvlJc w:val="right"/>
      <w:pPr>
        <w:tabs>
          <w:tab w:val="num" w:pos="4200"/>
        </w:tabs>
        <w:snapToGrid/>
        <w:ind w:left="4200" w:hanging="420"/>
      </w:pPr>
      <w:rPr>
        <w:rFonts w:cs="Times New Roman"/>
      </w:rPr>
    </w:lvl>
  </w:abstractNum>
  <w:abstractNum w:abstractNumId="9" w15:restartNumberingAfterBreak="0">
    <w:nsid w:val="2B3D0500"/>
    <w:multiLevelType w:val="hybridMultilevel"/>
    <w:tmpl w:val="1CCC28AE"/>
    <w:lvl w:ilvl="0" w:tplc="280EF41A">
      <w:start w:val="1"/>
      <w:numFmt w:val="decimal"/>
      <w:lvlText w:val="%1）"/>
      <w:lvlJc w:val="left"/>
      <w:pPr>
        <w:tabs>
          <w:tab w:val="num" w:pos="840"/>
        </w:tabs>
        <w:snapToGrid/>
        <w:ind w:left="840" w:hanging="420"/>
      </w:pPr>
      <w:rPr>
        <w:rFonts w:ascii="Times New Roman" w:eastAsia="宋体" w:hAnsi="Times New Roman" w:cs="Times New Roman"/>
      </w:rPr>
    </w:lvl>
    <w:lvl w:ilvl="1" w:tplc="27FC530C">
      <w:start w:val="1"/>
      <w:numFmt w:val="bullet"/>
      <w:lvlText w:val=""/>
      <w:lvlJc w:val="left"/>
      <w:pPr>
        <w:tabs>
          <w:tab w:val="num" w:pos="1260"/>
        </w:tabs>
        <w:snapToGrid/>
        <w:ind w:left="1260" w:hanging="420"/>
      </w:pPr>
      <w:rPr>
        <w:rFonts w:ascii="Wingdings" w:hAnsi="Wingdings" w:hint="default"/>
      </w:rPr>
    </w:lvl>
    <w:lvl w:ilvl="2" w:tplc="4372BCC2">
      <w:start w:val="1"/>
      <w:numFmt w:val="bullet"/>
      <w:lvlText w:val=""/>
      <w:lvlJc w:val="left"/>
      <w:pPr>
        <w:tabs>
          <w:tab w:val="num" w:pos="1680"/>
        </w:tabs>
        <w:snapToGrid/>
        <w:ind w:left="1680" w:hanging="420"/>
      </w:pPr>
      <w:rPr>
        <w:rFonts w:ascii="Wingdings" w:hAnsi="Wingdings" w:hint="default"/>
      </w:rPr>
    </w:lvl>
    <w:lvl w:ilvl="3" w:tplc="E04C4996">
      <w:start w:val="1"/>
      <w:numFmt w:val="bullet"/>
      <w:lvlText w:val=""/>
      <w:lvlJc w:val="left"/>
      <w:pPr>
        <w:tabs>
          <w:tab w:val="num" w:pos="2100"/>
        </w:tabs>
        <w:snapToGrid/>
        <w:ind w:left="2100" w:hanging="420"/>
      </w:pPr>
      <w:rPr>
        <w:rFonts w:ascii="Wingdings" w:hAnsi="Wingdings" w:hint="default"/>
      </w:rPr>
    </w:lvl>
    <w:lvl w:ilvl="4" w:tplc="765E7D18">
      <w:start w:val="1"/>
      <w:numFmt w:val="bullet"/>
      <w:lvlText w:val=""/>
      <w:lvlJc w:val="left"/>
      <w:pPr>
        <w:tabs>
          <w:tab w:val="num" w:pos="2520"/>
        </w:tabs>
        <w:snapToGrid/>
        <w:ind w:left="2520" w:hanging="420"/>
      </w:pPr>
      <w:rPr>
        <w:rFonts w:ascii="Wingdings" w:hAnsi="Wingdings" w:hint="default"/>
      </w:rPr>
    </w:lvl>
    <w:lvl w:ilvl="5" w:tplc="5FDE4176">
      <w:start w:val="1"/>
      <w:numFmt w:val="bullet"/>
      <w:lvlText w:val=""/>
      <w:lvlJc w:val="left"/>
      <w:pPr>
        <w:tabs>
          <w:tab w:val="num" w:pos="2940"/>
        </w:tabs>
        <w:snapToGrid/>
        <w:ind w:left="2940" w:hanging="420"/>
      </w:pPr>
      <w:rPr>
        <w:rFonts w:ascii="Wingdings" w:hAnsi="Wingdings" w:hint="default"/>
      </w:rPr>
    </w:lvl>
    <w:lvl w:ilvl="6" w:tplc="9FB44838">
      <w:start w:val="1"/>
      <w:numFmt w:val="bullet"/>
      <w:lvlText w:val=""/>
      <w:lvlJc w:val="left"/>
      <w:pPr>
        <w:tabs>
          <w:tab w:val="num" w:pos="3360"/>
        </w:tabs>
        <w:snapToGrid/>
        <w:ind w:left="3360" w:hanging="420"/>
      </w:pPr>
      <w:rPr>
        <w:rFonts w:ascii="Wingdings" w:hAnsi="Wingdings" w:hint="default"/>
      </w:rPr>
    </w:lvl>
    <w:lvl w:ilvl="7" w:tplc="12B4E66C">
      <w:start w:val="1"/>
      <w:numFmt w:val="bullet"/>
      <w:lvlText w:val=""/>
      <w:lvlJc w:val="left"/>
      <w:pPr>
        <w:tabs>
          <w:tab w:val="num" w:pos="3780"/>
        </w:tabs>
        <w:snapToGrid/>
        <w:ind w:left="3780" w:hanging="420"/>
      </w:pPr>
      <w:rPr>
        <w:rFonts w:ascii="Wingdings" w:hAnsi="Wingdings" w:hint="default"/>
      </w:rPr>
    </w:lvl>
    <w:lvl w:ilvl="8" w:tplc="75EA2FC6">
      <w:start w:val="1"/>
      <w:numFmt w:val="bullet"/>
      <w:lvlText w:val=""/>
      <w:lvlJc w:val="left"/>
      <w:pPr>
        <w:tabs>
          <w:tab w:val="num" w:pos="4200"/>
        </w:tabs>
        <w:snapToGrid/>
        <w:ind w:left="4200" w:hanging="420"/>
      </w:pPr>
      <w:rPr>
        <w:rFonts w:ascii="Wingdings" w:hAnsi="Wingdings" w:hint="default"/>
      </w:rPr>
    </w:lvl>
  </w:abstractNum>
  <w:abstractNum w:abstractNumId="10" w15:restartNumberingAfterBreak="0">
    <w:nsid w:val="2B603E9E"/>
    <w:multiLevelType w:val="hybridMultilevel"/>
    <w:tmpl w:val="DFB01E92"/>
    <w:lvl w:ilvl="0" w:tplc="294001B0">
      <w:start w:val="1"/>
      <w:numFmt w:val="decimal"/>
      <w:lvlText w:val="%1."/>
      <w:lvlJc w:val="left"/>
      <w:pPr>
        <w:tabs>
          <w:tab w:val="num" w:pos="840"/>
        </w:tabs>
        <w:snapToGrid/>
        <w:ind w:left="840" w:hanging="420"/>
      </w:pPr>
      <w:rPr>
        <w:rFonts w:cs="Times New Roman"/>
      </w:rPr>
    </w:lvl>
    <w:lvl w:ilvl="1" w:tplc="34E8F360">
      <w:start w:val="1"/>
      <w:numFmt w:val="lowerLetter"/>
      <w:lvlText w:val="%2)"/>
      <w:lvlJc w:val="left"/>
      <w:pPr>
        <w:tabs>
          <w:tab w:val="num" w:pos="840"/>
        </w:tabs>
        <w:snapToGrid/>
        <w:ind w:left="840" w:hanging="420"/>
      </w:pPr>
      <w:rPr>
        <w:rFonts w:cs="Times New Roman"/>
      </w:rPr>
    </w:lvl>
    <w:lvl w:ilvl="2" w:tplc="2E8AC1D2">
      <w:start w:val="1"/>
      <w:numFmt w:val="lowerRoman"/>
      <w:lvlText w:val="%3."/>
      <w:lvlJc w:val="right"/>
      <w:pPr>
        <w:tabs>
          <w:tab w:val="num" w:pos="1260"/>
        </w:tabs>
        <w:snapToGrid/>
        <w:ind w:left="1260" w:hanging="420"/>
      </w:pPr>
      <w:rPr>
        <w:rFonts w:cs="Times New Roman"/>
      </w:rPr>
    </w:lvl>
    <w:lvl w:ilvl="3" w:tplc="127466FA">
      <w:start w:val="1"/>
      <w:numFmt w:val="decimal"/>
      <w:lvlText w:val="%4."/>
      <w:lvlJc w:val="left"/>
      <w:pPr>
        <w:tabs>
          <w:tab w:val="num" w:pos="1680"/>
        </w:tabs>
        <w:snapToGrid/>
        <w:ind w:left="1680" w:hanging="420"/>
      </w:pPr>
      <w:rPr>
        <w:rFonts w:cs="Times New Roman"/>
      </w:rPr>
    </w:lvl>
    <w:lvl w:ilvl="4" w:tplc="E43451D6">
      <w:start w:val="1"/>
      <w:numFmt w:val="lowerLetter"/>
      <w:lvlText w:val="%5)"/>
      <w:lvlJc w:val="left"/>
      <w:pPr>
        <w:tabs>
          <w:tab w:val="num" w:pos="2100"/>
        </w:tabs>
        <w:snapToGrid/>
        <w:ind w:left="2100" w:hanging="420"/>
      </w:pPr>
      <w:rPr>
        <w:rFonts w:cs="Times New Roman"/>
      </w:rPr>
    </w:lvl>
    <w:lvl w:ilvl="5" w:tplc="DCBEFFA6">
      <w:start w:val="1"/>
      <w:numFmt w:val="lowerRoman"/>
      <w:lvlText w:val="%6."/>
      <w:lvlJc w:val="right"/>
      <w:pPr>
        <w:tabs>
          <w:tab w:val="num" w:pos="2520"/>
        </w:tabs>
        <w:snapToGrid/>
        <w:ind w:left="2520" w:hanging="420"/>
      </w:pPr>
      <w:rPr>
        <w:rFonts w:cs="Times New Roman"/>
      </w:rPr>
    </w:lvl>
    <w:lvl w:ilvl="6" w:tplc="14F66E42">
      <w:start w:val="1"/>
      <w:numFmt w:val="decimal"/>
      <w:lvlText w:val="%7."/>
      <w:lvlJc w:val="left"/>
      <w:pPr>
        <w:tabs>
          <w:tab w:val="num" w:pos="2940"/>
        </w:tabs>
        <w:snapToGrid/>
        <w:ind w:left="2940" w:hanging="420"/>
      </w:pPr>
      <w:rPr>
        <w:rFonts w:cs="Times New Roman"/>
      </w:rPr>
    </w:lvl>
    <w:lvl w:ilvl="7" w:tplc="692A1042">
      <w:start w:val="1"/>
      <w:numFmt w:val="lowerLetter"/>
      <w:lvlText w:val="%8)"/>
      <w:lvlJc w:val="left"/>
      <w:pPr>
        <w:tabs>
          <w:tab w:val="num" w:pos="3360"/>
        </w:tabs>
        <w:snapToGrid/>
        <w:ind w:left="3360" w:hanging="420"/>
      </w:pPr>
      <w:rPr>
        <w:rFonts w:cs="Times New Roman"/>
      </w:rPr>
    </w:lvl>
    <w:lvl w:ilvl="8" w:tplc="29D40B40">
      <w:start w:val="1"/>
      <w:numFmt w:val="lowerRoman"/>
      <w:lvlText w:val="%9."/>
      <w:lvlJc w:val="right"/>
      <w:pPr>
        <w:tabs>
          <w:tab w:val="num" w:pos="3780"/>
        </w:tabs>
        <w:snapToGrid/>
        <w:ind w:left="3780" w:hanging="420"/>
      </w:pPr>
      <w:rPr>
        <w:rFonts w:cs="Times New Roman"/>
      </w:rPr>
    </w:lvl>
  </w:abstractNum>
  <w:abstractNum w:abstractNumId="11" w15:restartNumberingAfterBreak="0">
    <w:nsid w:val="2EA82FB8"/>
    <w:multiLevelType w:val="hybridMultilevel"/>
    <w:tmpl w:val="B6823EE6"/>
    <w:lvl w:ilvl="0" w:tplc="7D6C1C26">
      <w:start w:val="1"/>
      <w:numFmt w:val="decimal"/>
      <w:lvlText w:val="%1）"/>
      <w:lvlJc w:val="left"/>
      <w:pPr>
        <w:tabs>
          <w:tab w:val="num" w:pos="840"/>
        </w:tabs>
        <w:snapToGrid/>
        <w:ind w:left="840" w:hanging="420"/>
      </w:pPr>
      <w:rPr>
        <w:rFonts w:ascii="Times New Roman" w:eastAsia="宋体" w:hAnsi="Times New Roman" w:cs="Times New Roman"/>
      </w:rPr>
    </w:lvl>
    <w:lvl w:ilvl="1" w:tplc="44FA7B6E">
      <w:start w:val="1"/>
      <w:numFmt w:val="bullet"/>
      <w:lvlText w:val=""/>
      <w:lvlJc w:val="left"/>
      <w:pPr>
        <w:tabs>
          <w:tab w:val="num" w:pos="1260"/>
        </w:tabs>
        <w:snapToGrid/>
        <w:ind w:left="1260" w:hanging="420"/>
      </w:pPr>
      <w:rPr>
        <w:rFonts w:ascii="Wingdings" w:hAnsi="Wingdings" w:hint="default"/>
      </w:rPr>
    </w:lvl>
    <w:lvl w:ilvl="2" w:tplc="CD9A2C12">
      <w:start w:val="1"/>
      <w:numFmt w:val="bullet"/>
      <w:lvlText w:val=""/>
      <w:lvlJc w:val="left"/>
      <w:pPr>
        <w:tabs>
          <w:tab w:val="num" w:pos="1680"/>
        </w:tabs>
        <w:snapToGrid/>
        <w:ind w:left="1680" w:hanging="420"/>
      </w:pPr>
      <w:rPr>
        <w:rFonts w:ascii="Wingdings" w:hAnsi="Wingdings" w:hint="default"/>
      </w:rPr>
    </w:lvl>
    <w:lvl w:ilvl="3" w:tplc="3ABEDD92">
      <w:start w:val="1"/>
      <w:numFmt w:val="bullet"/>
      <w:lvlText w:val=""/>
      <w:lvlJc w:val="left"/>
      <w:pPr>
        <w:tabs>
          <w:tab w:val="num" w:pos="2100"/>
        </w:tabs>
        <w:snapToGrid/>
        <w:ind w:left="2100" w:hanging="420"/>
      </w:pPr>
      <w:rPr>
        <w:rFonts w:ascii="Wingdings" w:hAnsi="Wingdings" w:hint="default"/>
      </w:rPr>
    </w:lvl>
    <w:lvl w:ilvl="4" w:tplc="DEFC0BDA">
      <w:start w:val="1"/>
      <w:numFmt w:val="bullet"/>
      <w:lvlText w:val=""/>
      <w:lvlJc w:val="left"/>
      <w:pPr>
        <w:tabs>
          <w:tab w:val="num" w:pos="2520"/>
        </w:tabs>
        <w:snapToGrid/>
        <w:ind w:left="2520" w:hanging="420"/>
      </w:pPr>
      <w:rPr>
        <w:rFonts w:ascii="Wingdings" w:hAnsi="Wingdings" w:hint="default"/>
      </w:rPr>
    </w:lvl>
    <w:lvl w:ilvl="5" w:tplc="0A104888">
      <w:start w:val="1"/>
      <w:numFmt w:val="bullet"/>
      <w:lvlText w:val=""/>
      <w:lvlJc w:val="left"/>
      <w:pPr>
        <w:tabs>
          <w:tab w:val="num" w:pos="2940"/>
        </w:tabs>
        <w:snapToGrid/>
        <w:ind w:left="2940" w:hanging="420"/>
      </w:pPr>
      <w:rPr>
        <w:rFonts w:ascii="Wingdings" w:hAnsi="Wingdings" w:hint="default"/>
      </w:rPr>
    </w:lvl>
    <w:lvl w:ilvl="6" w:tplc="1BCCC02E">
      <w:start w:val="1"/>
      <w:numFmt w:val="bullet"/>
      <w:lvlText w:val=""/>
      <w:lvlJc w:val="left"/>
      <w:pPr>
        <w:tabs>
          <w:tab w:val="num" w:pos="3360"/>
        </w:tabs>
        <w:snapToGrid/>
        <w:ind w:left="3360" w:hanging="420"/>
      </w:pPr>
      <w:rPr>
        <w:rFonts w:ascii="Wingdings" w:hAnsi="Wingdings" w:hint="default"/>
      </w:rPr>
    </w:lvl>
    <w:lvl w:ilvl="7" w:tplc="3B5CA3F4">
      <w:start w:val="1"/>
      <w:numFmt w:val="bullet"/>
      <w:lvlText w:val=""/>
      <w:lvlJc w:val="left"/>
      <w:pPr>
        <w:tabs>
          <w:tab w:val="num" w:pos="3780"/>
        </w:tabs>
        <w:snapToGrid/>
        <w:ind w:left="3780" w:hanging="420"/>
      </w:pPr>
      <w:rPr>
        <w:rFonts w:ascii="Wingdings" w:hAnsi="Wingdings" w:hint="default"/>
      </w:rPr>
    </w:lvl>
    <w:lvl w:ilvl="8" w:tplc="4F1EA74E">
      <w:start w:val="1"/>
      <w:numFmt w:val="bullet"/>
      <w:lvlText w:val=""/>
      <w:lvlJc w:val="left"/>
      <w:pPr>
        <w:tabs>
          <w:tab w:val="num" w:pos="4200"/>
        </w:tabs>
        <w:snapToGrid/>
        <w:ind w:left="4200" w:hanging="420"/>
      </w:pPr>
      <w:rPr>
        <w:rFonts w:ascii="Wingdings" w:hAnsi="Wingdings" w:hint="default"/>
      </w:rPr>
    </w:lvl>
  </w:abstractNum>
  <w:abstractNum w:abstractNumId="12" w15:restartNumberingAfterBreak="0">
    <w:nsid w:val="2F7D0AC2"/>
    <w:multiLevelType w:val="hybridMultilevel"/>
    <w:tmpl w:val="D93C8902"/>
    <w:lvl w:ilvl="0" w:tplc="774C2EC8">
      <w:start w:val="1"/>
      <w:numFmt w:val="decimal"/>
      <w:lvlText w:val="%1、"/>
      <w:lvlJc w:val="left"/>
      <w:pPr>
        <w:snapToGrid/>
        <w:ind w:left="900" w:hanging="420"/>
      </w:pPr>
      <w:rPr>
        <w:rFonts w:hint="default"/>
      </w:rPr>
    </w:lvl>
    <w:lvl w:ilvl="1" w:tplc="06729E56">
      <w:start w:val="1"/>
      <w:numFmt w:val="lowerLetter"/>
      <w:lvlText w:val="%2)"/>
      <w:lvlJc w:val="left"/>
      <w:pPr>
        <w:snapToGrid/>
        <w:ind w:left="1320" w:hanging="420"/>
      </w:pPr>
    </w:lvl>
    <w:lvl w:ilvl="2" w:tplc="CF547842">
      <w:start w:val="1"/>
      <w:numFmt w:val="lowerRoman"/>
      <w:lvlText w:val="%3."/>
      <w:lvlJc w:val="right"/>
      <w:pPr>
        <w:snapToGrid/>
        <w:ind w:left="1740" w:hanging="420"/>
      </w:pPr>
    </w:lvl>
    <w:lvl w:ilvl="3" w:tplc="EB84BD06">
      <w:start w:val="1"/>
      <w:numFmt w:val="decimal"/>
      <w:lvlText w:val="%4."/>
      <w:lvlJc w:val="left"/>
      <w:pPr>
        <w:snapToGrid/>
        <w:ind w:left="2160" w:hanging="420"/>
      </w:pPr>
    </w:lvl>
    <w:lvl w:ilvl="4" w:tplc="29E230B6">
      <w:start w:val="1"/>
      <w:numFmt w:val="lowerLetter"/>
      <w:lvlText w:val="%5)"/>
      <w:lvlJc w:val="left"/>
      <w:pPr>
        <w:snapToGrid/>
        <w:ind w:left="2580" w:hanging="420"/>
      </w:pPr>
    </w:lvl>
    <w:lvl w:ilvl="5" w:tplc="23A4BD9E">
      <w:start w:val="1"/>
      <w:numFmt w:val="lowerRoman"/>
      <w:lvlText w:val="%6."/>
      <w:lvlJc w:val="right"/>
      <w:pPr>
        <w:snapToGrid/>
        <w:ind w:left="3000" w:hanging="420"/>
      </w:pPr>
    </w:lvl>
    <w:lvl w:ilvl="6" w:tplc="C86E9D46">
      <w:start w:val="1"/>
      <w:numFmt w:val="decimal"/>
      <w:lvlText w:val="%7."/>
      <w:lvlJc w:val="left"/>
      <w:pPr>
        <w:snapToGrid/>
        <w:ind w:left="3420" w:hanging="420"/>
      </w:pPr>
    </w:lvl>
    <w:lvl w:ilvl="7" w:tplc="2EE68470">
      <w:start w:val="1"/>
      <w:numFmt w:val="lowerLetter"/>
      <w:lvlText w:val="%8)"/>
      <w:lvlJc w:val="left"/>
      <w:pPr>
        <w:snapToGrid/>
        <w:ind w:left="3840" w:hanging="420"/>
      </w:pPr>
    </w:lvl>
    <w:lvl w:ilvl="8" w:tplc="54FA7DD8">
      <w:start w:val="1"/>
      <w:numFmt w:val="lowerRoman"/>
      <w:lvlText w:val="%9."/>
      <w:lvlJc w:val="right"/>
      <w:pPr>
        <w:snapToGrid/>
        <w:ind w:left="4260" w:hanging="420"/>
      </w:pPr>
    </w:lvl>
  </w:abstractNum>
  <w:abstractNum w:abstractNumId="13" w15:restartNumberingAfterBreak="0">
    <w:nsid w:val="35647476"/>
    <w:multiLevelType w:val="hybridMultilevel"/>
    <w:tmpl w:val="590C7D1C"/>
    <w:lvl w:ilvl="0" w:tplc="3058F4F6">
      <w:start w:val="1"/>
      <w:numFmt w:val="decimal"/>
      <w:lvlText w:val="（%1）"/>
      <w:lvlJc w:val="left"/>
      <w:pPr>
        <w:snapToGrid/>
        <w:ind w:left="1560" w:hanging="1080"/>
      </w:pPr>
      <w:rPr>
        <w:rFonts w:hint="default"/>
      </w:rPr>
    </w:lvl>
    <w:lvl w:ilvl="1" w:tplc="23527830">
      <w:start w:val="1"/>
      <w:numFmt w:val="lowerLetter"/>
      <w:lvlText w:val="%2)"/>
      <w:lvlJc w:val="left"/>
      <w:pPr>
        <w:snapToGrid/>
        <w:ind w:left="1320" w:hanging="420"/>
      </w:pPr>
    </w:lvl>
    <w:lvl w:ilvl="2" w:tplc="31AE4592">
      <w:start w:val="1"/>
      <w:numFmt w:val="lowerRoman"/>
      <w:lvlText w:val="%3."/>
      <w:lvlJc w:val="right"/>
      <w:pPr>
        <w:snapToGrid/>
        <w:ind w:left="1740" w:hanging="420"/>
      </w:pPr>
    </w:lvl>
    <w:lvl w:ilvl="3" w:tplc="60AAB9B6">
      <w:start w:val="1"/>
      <w:numFmt w:val="decimal"/>
      <w:lvlText w:val="%4."/>
      <w:lvlJc w:val="left"/>
      <w:pPr>
        <w:snapToGrid/>
        <w:ind w:left="2160" w:hanging="420"/>
      </w:pPr>
    </w:lvl>
    <w:lvl w:ilvl="4" w:tplc="2202FCF0">
      <w:start w:val="1"/>
      <w:numFmt w:val="lowerLetter"/>
      <w:lvlText w:val="%5)"/>
      <w:lvlJc w:val="left"/>
      <w:pPr>
        <w:snapToGrid/>
        <w:ind w:left="2580" w:hanging="420"/>
      </w:pPr>
    </w:lvl>
    <w:lvl w:ilvl="5" w:tplc="44FE3DD6">
      <w:start w:val="1"/>
      <w:numFmt w:val="lowerRoman"/>
      <w:lvlText w:val="%6."/>
      <w:lvlJc w:val="right"/>
      <w:pPr>
        <w:snapToGrid/>
        <w:ind w:left="3000" w:hanging="420"/>
      </w:pPr>
    </w:lvl>
    <w:lvl w:ilvl="6" w:tplc="A83A5A5E">
      <w:start w:val="1"/>
      <w:numFmt w:val="decimal"/>
      <w:lvlText w:val="%7."/>
      <w:lvlJc w:val="left"/>
      <w:pPr>
        <w:snapToGrid/>
        <w:ind w:left="3420" w:hanging="420"/>
      </w:pPr>
    </w:lvl>
    <w:lvl w:ilvl="7" w:tplc="5DCE1DBA">
      <w:start w:val="1"/>
      <w:numFmt w:val="lowerLetter"/>
      <w:lvlText w:val="%8)"/>
      <w:lvlJc w:val="left"/>
      <w:pPr>
        <w:snapToGrid/>
        <w:ind w:left="3840" w:hanging="420"/>
      </w:pPr>
    </w:lvl>
    <w:lvl w:ilvl="8" w:tplc="E4067A70">
      <w:start w:val="1"/>
      <w:numFmt w:val="lowerRoman"/>
      <w:lvlText w:val="%9."/>
      <w:lvlJc w:val="right"/>
      <w:pPr>
        <w:snapToGrid/>
        <w:ind w:left="4260" w:hanging="420"/>
      </w:pPr>
    </w:lvl>
  </w:abstractNum>
  <w:abstractNum w:abstractNumId="14" w15:restartNumberingAfterBreak="0">
    <w:nsid w:val="36494E8A"/>
    <w:multiLevelType w:val="hybridMultilevel"/>
    <w:tmpl w:val="9F1A3DD4"/>
    <w:lvl w:ilvl="0" w:tplc="6CA45B68">
      <w:start w:val="2"/>
      <w:numFmt w:val="decimal"/>
      <w:lvlText w:val="%1）"/>
      <w:lvlJc w:val="left"/>
      <w:pPr>
        <w:tabs>
          <w:tab w:val="num" w:pos="780"/>
        </w:tabs>
        <w:snapToGrid/>
        <w:ind w:left="780" w:hanging="360"/>
      </w:pPr>
      <w:rPr>
        <w:rFonts w:cs="Times New Roman" w:hint="default"/>
      </w:rPr>
    </w:lvl>
    <w:lvl w:ilvl="1" w:tplc="15F01FD2">
      <w:start w:val="1"/>
      <w:numFmt w:val="lowerLetter"/>
      <w:lvlText w:val="%2)"/>
      <w:lvlJc w:val="left"/>
      <w:pPr>
        <w:tabs>
          <w:tab w:val="num" w:pos="1260"/>
        </w:tabs>
        <w:snapToGrid/>
        <w:ind w:left="1260" w:hanging="420"/>
      </w:pPr>
      <w:rPr>
        <w:rFonts w:cs="Times New Roman"/>
      </w:rPr>
    </w:lvl>
    <w:lvl w:ilvl="2" w:tplc="030C47C2">
      <w:start w:val="1"/>
      <w:numFmt w:val="lowerRoman"/>
      <w:lvlText w:val="%3."/>
      <w:lvlJc w:val="right"/>
      <w:pPr>
        <w:tabs>
          <w:tab w:val="num" w:pos="1680"/>
        </w:tabs>
        <w:snapToGrid/>
        <w:ind w:left="1680" w:hanging="420"/>
      </w:pPr>
      <w:rPr>
        <w:rFonts w:cs="Times New Roman"/>
      </w:rPr>
    </w:lvl>
    <w:lvl w:ilvl="3" w:tplc="52A272C4">
      <w:start w:val="1"/>
      <w:numFmt w:val="decimal"/>
      <w:lvlText w:val="%4."/>
      <w:lvlJc w:val="left"/>
      <w:pPr>
        <w:tabs>
          <w:tab w:val="num" w:pos="2100"/>
        </w:tabs>
        <w:snapToGrid/>
        <w:ind w:left="2100" w:hanging="420"/>
      </w:pPr>
      <w:rPr>
        <w:rFonts w:cs="Times New Roman"/>
      </w:rPr>
    </w:lvl>
    <w:lvl w:ilvl="4" w:tplc="456C9084">
      <w:start w:val="1"/>
      <w:numFmt w:val="lowerLetter"/>
      <w:lvlText w:val="%5)"/>
      <w:lvlJc w:val="left"/>
      <w:pPr>
        <w:tabs>
          <w:tab w:val="num" w:pos="2520"/>
        </w:tabs>
        <w:snapToGrid/>
        <w:ind w:left="2520" w:hanging="420"/>
      </w:pPr>
      <w:rPr>
        <w:rFonts w:cs="Times New Roman"/>
      </w:rPr>
    </w:lvl>
    <w:lvl w:ilvl="5" w:tplc="89C833BC">
      <w:start w:val="1"/>
      <w:numFmt w:val="lowerRoman"/>
      <w:lvlText w:val="%6."/>
      <w:lvlJc w:val="right"/>
      <w:pPr>
        <w:tabs>
          <w:tab w:val="num" w:pos="2940"/>
        </w:tabs>
        <w:snapToGrid/>
        <w:ind w:left="2940" w:hanging="420"/>
      </w:pPr>
      <w:rPr>
        <w:rFonts w:cs="Times New Roman"/>
      </w:rPr>
    </w:lvl>
    <w:lvl w:ilvl="6" w:tplc="0B1CA4F0">
      <w:start w:val="1"/>
      <w:numFmt w:val="decimal"/>
      <w:lvlText w:val="%7."/>
      <w:lvlJc w:val="left"/>
      <w:pPr>
        <w:tabs>
          <w:tab w:val="num" w:pos="3360"/>
        </w:tabs>
        <w:snapToGrid/>
        <w:ind w:left="3360" w:hanging="420"/>
      </w:pPr>
      <w:rPr>
        <w:rFonts w:cs="Times New Roman"/>
      </w:rPr>
    </w:lvl>
    <w:lvl w:ilvl="7" w:tplc="FF1A49E2">
      <w:start w:val="1"/>
      <w:numFmt w:val="lowerLetter"/>
      <w:lvlText w:val="%8)"/>
      <w:lvlJc w:val="left"/>
      <w:pPr>
        <w:tabs>
          <w:tab w:val="num" w:pos="3780"/>
        </w:tabs>
        <w:snapToGrid/>
        <w:ind w:left="3780" w:hanging="420"/>
      </w:pPr>
      <w:rPr>
        <w:rFonts w:cs="Times New Roman"/>
      </w:rPr>
    </w:lvl>
    <w:lvl w:ilvl="8" w:tplc="B8262C84">
      <w:start w:val="1"/>
      <w:numFmt w:val="lowerRoman"/>
      <w:lvlText w:val="%9."/>
      <w:lvlJc w:val="right"/>
      <w:pPr>
        <w:tabs>
          <w:tab w:val="num" w:pos="4200"/>
        </w:tabs>
        <w:snapToGrid/>
        <w:ind w:left="4200" w:hanging="420"/>
      </w:pPr>
      <w:rPr>
        <w:rFonts w:cs="Times New Roman"/>
      </w:rPr>
    </w:lvl>
  </w:abstractNum>
  <w:abstractNum w:abstractNumId="15" w15:restartNumberingAfterBreak="0">
    <w:nsid w:val="3E49485D"/>
    <w:multiLevelType w:val="hybridMultilevel"/>
    <w:tmpl w:val="B3322B16"/>
    <w:lvl w:ilvl="0" w:tplc="37CAB456">
      <w:start w:val="1"/>
      <w:numFmt w:val="decimal"/>
      <w:lvlText w:val="（%1）"/>
      <w:lvlJc w:val="left"/>
      <w:pPr>
        <w:snapToGrid/>
        <w:ind w:left="1200" w:hanging="720"/>
      </w:pPr>
      <w:rPr>
        <w:rFonts w:hint="default"/>
      </w:rPr>
    </w:lvl>
    <w:lvl w:ilvl="1" w:tplc="D9C87342">
      <w:start w:val="1"/>
      <w:numFmt w:val="lowerLetter"/>
      <w:lvlText w:val="%2)"/>
      <w:lvlJc w:val="left"/>
      <w:pPr>
        <w:snapToGrid/>
        <w:ind w:left="1320" w:hanging="420"/>
      </w:pPr>
    </w:lvl>
    <w:lvl w:ilvl="2" w:tplc="246E17F6">
      <w:start w:val="1"/>
      <w:numFmt w:val="lowerRoman"/>
      <w:lvlText w:val="%3."/>
      <w:lvlJc w:val="right"/>
      <w:pPr>
        <w:snapToGrid/>
        <w:ind w:left="1740" w:hanging="420"/>
      </w:pPr>
    </w:lvl>
    <w:lvl w:ilvl="3" w:tplc="92207182">
      <w:start w:val="1"/>
      <w:numFmt w:val="decimal"/>
      <w:lvlText w:val="%4."/>
      <w:lvlJc w:val="left"/>
      <w:pPr>
        <w:snapToGrid/>
        <w:ind w:left="2160" w:hanging="420"/>
      </w:pPr>
    </w:lvl>
    <w:lvl w:ilvl="4" w:tplc="1510519A">
      <w:start w:val="1"/>
      <w:numFmt w:val="lowerLetter"/>
      <w:lvlText w:val="%5)"/>
      <w:lvlJc w:val="left"/>
      <w:pPr>
        <w:snapToGrid/>
        <w:ind w:left="2580" w:hanging="420"/>
      </w:pPr>
    </w:lvl>
    <w:lvl w:ilvl="5" w:tplc="0F129AB4">
      <w:start w:val="1"/>
      <w:numFmt w:val="lowerRoman"/>
      <w:lvlText w:val="%6."/>
      <w:lvlJc w:val="right"/>
      <w:pPr>
        <w:snapToGrid/>
        <w:ind w:left="3000" w:hanging="420"/>
      </w:pPr>
    </w:lvl>
    <w:lvl w:ilvl="6" w:tplc="7A185B28">
      <w:start w:val="1"/>
      <w:numFmt w:val="decimal"/>
      <w:lvlText w:val="%7."/>
      <w:lvlJc w:val="left"/>
      <w:pPr>
        <w:snapToGrid/>
        <w:ind w:left="3420" w:hanging="420"/>
      </w:pPr>
    </w:lvl>
    <w:lvl w:ilvl="7" w:tplc="A6688DA0">
      <w:start w:val="1"/>
      <w:numFmt w:val="lowerLetter"/>
      <w:lvlText w:val="%8)"/>
      <w:lvlJc w:val="left"/>
      <w:pPr>
        <w:snapToGrid/>
        <w:ind w:left="3840" w:hanging="420"/>
      </w:pPr>
    </w:lvl>
    <w:lvl w:ilvl="8" w:tplc="DC52CDF0">
      <w:start w:val="1"/>
      <w:numFmt w:val="lowerRoman"/>
      <w:lvlText w:val="%9."/>
      <w:lvlJc w:val="right"/>
      <w:pPr>
        <w:snapToGrid/>
        <w:ind w:left="4260" w:hanging="420"/>
      </w:pPr>
    </w:lvl>
  </w:abstractNum>
  <w:abstractNum w:abstractNumId="16" w15:restartNumberingAfterBreak="0">
    <w:nsid w:val="4078729D"/>
    <w:multiLevelType w:val="hybridMultilevel"/>
    <w:tmpl w:val="9A0ADCA8"/>
    <w:lvl w:ilvl="0" w:tplc="BE8ECDA4">
      <w:start w:val="1"/>
      <w:numFmt w:val="decimal"/>
      <w:pStyle w:val="UCAlpha2"/>
      <w:lvlText w:val="(%1)"/>
      <w:lvlJc w:val="left"/>
      <w:pPr>
        <w:tabs>
          <w:tab w:val="num" w:pos="1941"/>
        </w:tabs>
        <w:snapToGrid/>
        <w:ind w:left="1941" w:hanging="681"/>
      </w:pPr>
      <w:rPr>
        <w:rFonts w:ascii="Arial" w:hAnsi="Arial" w:cs="Times New Roman" w:hint="default"/>
        <w:b w:val="0"/>
        <w:i w:val="0"/>
        <w:sz w:val="20"/>
      </w:rPr>
    </w:lvl>
    <w:lvl w:ilvl="1" w:tplc="9D20489A">
      <w:start w:val="1"/>
      <w:numFmt w:val="lowerLetter"/>
      <w:lvlText w:val="%2."/>
      <w:lvlJc w:val="left"/>
      <w:pPr>
        <w:tabs>
          <w:tab w:val="num" w:pos="1620"/>
        </w:tabs>
        <w:snapToGrid/>
        <w:ind w:left="1620" w:hanging="360"/>
      </w:pPr>
      <w:rPr>
        <w:rFonts w:cs="Times New Roman" w:hint="default"/>
      </w:rPr>
    </w:lvl>
    <w:lvl w:ilvl="2" w:tplc="9842A806">
      <w:start w:val="1"/>
      <w:numFmt w:val="lowerRoman"/>
      <w:lvlText w:val="%3."/>
      <w:lvlJc w:val="right"/>
      <w:pPr>
        <w:tabs>
          <w:tab w:val="num" w:pos="2340"/>
        </w:tabs>
        <w:snapToGrid/>
        <w:ind w:left="2340" w:hanging="180"/>
      </w:pPr>
      <w:rPr>
        <w:rFonts w:cs="Times New Roman" w:hint="default"/>
      </w:rPr>
    </w:lvl>
    <w:lvl w:ilvl="3" w:tplc="5ADAC9D2">
      <w:start w:val="1"/>
      <w:numFmt w:val="decimal"/>
      <w:lvlText w:val="%4."/>
      <w:lvlJc w:val="left"/>
      <w:pPr>
        <w:tabs>
          <w:tab w:val="num" w:pos="3060"/>
        </w:tabs>
        <w:snapToGrid/>
        <w:ind w:left="3060" w:hanging="360"/>
      </w:pPr>
      <w:rPr>
        <w:rFonts w:cs="Times New Roman" w:hint="default"/>
      </w:rPr>
    </w:lvl>
    <w:lvl w:ilvl="4" w:tplc="FB0A33BA">
      <w:start w:val="1"/>
      <w:numFmt w:val="lowerLetter"/>
      <w:lvlText w:val="%5."/>
      <w:lvlJc w:val="left"/>
      <w:pPr>
        <w:tabs>
          <w:tab w:val="num" w:pos="3780"/>
        </w:tabs>
        <w:snapToGrid/>
        <w:ind w:left="3780" w:hanging="360"/>
      </w:pPr>
      <w:rPr>
        <w:rFonts w:cs="Times New Roman" w:hint="default"/>
      </w:rPr>
    </w:lvl>
    <w:lvl w:ilvl="5" w:tplc="F1A622F8">
      <w:start w:val="1"/>
      <w:numFmt w:val="lowerRoman"/>
      <w:lvlText w:val="%6."/>
      <w:lvlJc w:val="right"/>
      <w:pPr>
        <w:tabs>
          <w:tab w:val="num" w:pos="4500"/>
        </w:tabs>
        <w:snapToGrid/>
        <w:ind w:left="4500" w:hanging="180"/>
      </w:pPr>
      <w:rPr>
        <w:rFonts w:cs="Times New Roman" w:hint="default"/>
      </w:rPr>
    </w:lvl>
    <w:lvl w:ilvl="6" w:tplc="0DFCC9D0">
      <w:start w:val="1"/>
      <w:numFmt w:val="decimal"/>
      <w:lvlText w:val="%7."/>
      <w:lvlJc w:val="left"/>
      <w:pPr>
        <w:tabs>
          <w:tab w:val="num" w:pos="5220"/>
        </w:tabs>
        <w:snapToGrid/>
        <w:ind w:left="5220" w:hanging="360"/>
      </w:pPr>
      <w:rPr>
        <w:rFonts w:cs="Times New Roman" w:hint="default"/>
      </w:rPr>
    </w:lvl>
    <w:lvl w:ilvl="7" w:tplc="C9C62E8C">
      <w:start w:val="1"/>
      <w:numFmt w:val="lowerLetter"/>
      <w:lvlText w:val="%8."/>
      <w:lvlJc w:val="left"/>
      <w:pPr>
        <w:tabs>
          <w:tab w:val="num" w:pos="5940"/>
        </w:tabs>
        <w:snapToGrid/>
        <w:ind w:left="5940" w:hanging="360"/>
      </w:pPr>
      <w:rPr>
        <w:rFonts w:cs="Times New Roman" w:hint="default"/>
      </w:rPr>
    </w:lvl>
    <w:lvl w:ilvl="8" w:tplc="FC3E6C5C">
      <w:start w:val="1"/>
      <w:numFmt w:val="lowerRoman"/>
      <w:lvlText w:val="%9."/>
      <w:lvlJc w:val="right"/>
      <w:pPr>
        <w:tabs>
          <w:tab w:val="num" w:pos="6660"/>
        </w:tabs>
        <w:snapToGrid/>
        <w:ind w:left="6660" w:hanging="180"/>
      </w:pPr>
      <w:rPr>
        <w:rFonts w:cs="Times New Roman" w:hint="default"/>
      </w:rPr>
    </w:lvl>
  </w:abstractNum>
  <w:abstractNum w:abstractNumId="17" w15:restartNumberingAfterBreak="0">
    <w:nsid w:val="4C9E119F"/>
    <w:multiLevelType w:val="hybridMultilevel"/>
    <w:tmpl w:val="6CDCA51A"/>
    <w:lvl w:ilvl="0" w:tplc="5AA4C8BC">
      <w:start w:val="1"/>
      <w:numFmt w:val="decimal"/>
      <w:lvlText w:val="%1）"/>
      <w:lvlJc w:val="left"/>
      <w:pPr>
        <w:snapToGrid/>
        <w:ind w:left="840" w:hanging="360"/>
      </w:pPr>
      <w:rPr>
        <w:rFonts w:hint="default"/>
      </w:rPr>
    </w:lvl>
    <w:lvl w:ilvl="1" w:tplc="5D4486A2">
      <w:start w:val="1"/>
      <w:numFmt w:val="lowerLetter"/>
      <w:lvlText w:val="%2)"/>
      <w:lvlJc w:val="left"/>
      <w:pPr>
        <w:snapToGrid/>
        <w:ind w:left="1320" w:hanging="420"/>
      </w:pPr>
    </w:lvl>
    <w:lvl w:ilvl="2" w:tplc="79C2775A">
      <w:start w:val="1"/>
      <w:numFmt w:val="lowerRoman"/>
      <w:lvlText w:val="%3."/>
      <w:lvlJc w:val="right"/>
      <w:pPr>
        <w:snapToGrid/>
        <w:ind w:left="1740" w:hanging="420"/>
      </w:pPr>
    </w:lvl>
    <w:lvl w:ilvl="3" w:tplc="368E4AEC">
      <w:start w:val="1"/>
      <w:numFmt w:val="decimal"/>
      <w:lvlText w:val="%4."/>
      <w:lvlJc w:val="left"/>
      <w:pPr>
        <w:snapToGrid/>
        <w:ind w:left="2160" w:hanging="420"/>
      </w:pPr>
    </w:lvl>
    <w:lvl w:ilvl="4" w:tplc="B77ED764">
      <w:start w:val="1"/>
      <w:numFmt w:val="lowerLetter"/>
      <w:lvlText w:val="%5)"/>
      <w:lvlJc w:val="left"/>
      <w:pPr>
        <w:snapToGrid/>
        <w:ind w:left="2580" w:hanging="420"/>
      </w:pPr>
    </w:lvl>
    <w:lvl w:ilvl="5" w:tplc="9E824BE0">
      <w:start w:val="1"/>
      <w:numFmt w:val="lowerRoman"/>
      <w:lvlText w:val="%6."/>
      <w:lvlJc w:val="right"/>
      <w:pPr>
        <w:snapToGrid/>
        <w:ind w:left="3000" w:hanging="420"/>
      </w:pPr>
    </w:lvl>
    <w:lvl w:ilvl="6" w:tplc="5726E312">
      <w:start w:val="1"/>
      <w:numFmt w:val="decimal"/>
      <w:lvlText w:val="%7."/>
      <w:lvlJc w:val="left"/>
      <w:pPr>
        <w:snapToGrid/>
        <w:ind w:left="3420" w:hanging="420"/>
      </w:pPr>
    </w:lvl>
    <w:lvl w:ilvl="7" w:tplc="A8485152">
      <w:start w:val="1"/>
      <w:numFmt w:val="lowerLetter"/>
      <w:lvlText w:val="%8)"/>
      <w:lvlJc w:val="left"/>
      <w:pPr>
        <w:snapToGrid/>
        <w:ind w:left="3840" w:hanging="420"/>
      </w:pPr>
    </w:lvl>
    <w:lvl w:ilvl="8" w:tplc="164EF1B4">
      <w:start w:val="1"/>
      <w:numFmt w:val="lowerRoman"/>
      <w:lvlText w:val="%9."/>
      <w:lvlJc w:val="right"/>
      <w:pPr>
        <w:snapToGrid/>
        <w:ind w:left="4260" w:hanging="420"/>
      </w:pPr>
    </w:lvl>
  </w:abstractNum>
  <w:abstractNum w:abstractNumId="18" w15:restartNumberingAfterBreak="0">
    <w:nsid w:val="4CB162BD"/>
    <w:multiLevelType w:val="hybridMultilevel"/>
    <w:tmpl w:val="5EA8EF18"/>
    <w:lvl w:ilvl="0" w:tplc="338C0DDE">
      <w:start w:val="1"/>
      <w:numFmt w:val="decimal"/>
      <w:lvlText w:val="（%1）"/>
      <w:lvlJc w:val="left"/>
      <w:pPr>
        <w:snapToGrid/>
        <w:ind w:left="1200" w:hanging="720"/>
      </w:pPr>
      <w:rPr>
        <w:rFonts w:hint="default"/>
      </w:rPr>
    </w:lvl>
    <w:lvl w:ilvl="1" w:tplc="38B61D9C">
      <w:start w:val="1"/>
      <w:numFmt w:val="lowerLetter"/>
      <w:lvlText w:val="%2)"/>
      <w:lvlJc w:val="left"/>
      <w:pPr>
        <w:snapToGrid/>
        <w:ind w:left="1320" w:hanging="420"/>
      </w:pPr>
    </w:lvl>
    <w:lvl w:ilvl="2" w:tplc="729C4D70">
      <w:start w:val="1"/>
      <w:numFmt w:val="lowerRoman"/>
      <w:lvlText w:val="%3."/>
      <w:lvlJc w:val="right"/>
      <w:pPr>
        <w:snapToGrid/>
        <w:ind w:left="1740" w:hanging="420"/>
      </w:pPr>
    </w:lvl>
    <w:lvl w:ilvl="3" w:tplc="472E1684">
      <w:start w:val="1"/>
      <w:numFmt w:val="decimal"/>
      <w:lvlText w:val="%4."/>
      <w:lvlJc w:val="left"/>
      <w:pPr>
        <w:snapToGrid/>
        <w:ind w:left="2160" w:hanging="420"/>
      </w:pPr>
    </w:lvl>
    <w:lvl w:ilvl="4" w:tplc="286294E4">
      <w:start w:val="1"/>
      <w:numFmt w:val="lowerLetter"/>
      <w:lvlText w:val="%5)"/>
      <w:lvlJc w:val="left"/>
      <w:pPr>
        <w:snapToGrid/>
        <w:ind w:left="2580" w:hanging="420"/>
      </w:pPr>
    </w:lvl>
    <w:lvl w:ilvl="5" w:tplc="62FA9D30">
      <w:start w:val="1"/>
      <w:numFmt w:val="lowerRoman"/>
      <w:lvlText w:val="%6."/>
      <w:lvlJc w:val="right"/>
      <w:pPr>
        <w:snapToGrid/>
        <w:ind w:left="3000" w:hanging="420"/>
      </w:pPr>
    </w:lvl>
    <w:lvl w:ilvl="6" w:tplc="B8D65CEC">
      <w:start w:val="1"/>
      <w:numFmt w:val="decimal"/>
      <w:lvlText w:val="%7."/>
      <w:lvlJc w:val="left"/>
      <w:pPr>
        <w:snapToGrid/>
        <w:ind w:left="3420" w:hanging="420"/>
      </w:pPr>
    </w:lvl>
    <w:lvl w:ilvl="7" w:tplc="399EBD72">
      <w:start w:val="1"/>
      <w:numFmt w:val="lowerLetter"/>
      <w:lvlText w:val="%8)"/>
      <w:lvlJc w:val="left"/>
      <w:pPr>
        <w:snapToGrid/>
        <w:ind w:left="3840" w:hanging="420"/>
      </w:pPr>
    </w:lvl>
    <w:lvl w:ilvl="8" w:tplc="3D0A050E">
      <w:start w:val="1"/>
      <w:numFmt w:val="lowerRoman"/>
      <w:lvlText w:val="%9."/>
      <w:lvlJc w:val="right"/>
      <w:pPr>
        <w:snapToGrid/>
        <w:ind w:left="4260" w:hanging="420"/>
      </w:pPr>
    </w:lvl>
  </w:abstractNum>
  <w:abstractNum w:abstractNumId="19" w15:restartNumberingAfterBreak="0">
    <w:nsid w:val="4D224F2E"/>
    <w:multiLevelType w:val="hybridMultilevel"/>
    <w:tmpl w:val="D9AE71D0"/>
    <w:lvl w:ilvl="0" w:tplc="D8FE1736">
      <w:start w:val="1"/>
      <w:numFmt w:val="decimal"/>
      <w:lvlText w:val="%1."/>
      <w:lvlJc w:val="left"/>
      <w:pPr>
        <w:tabs>
          <w:tab w:val="num" w:pos="840"/>
        </w:tabs>
        <w:snapToGrid/>
        <w:ind w:left="840" w:hanging="420"/>
      </w:pPr>
      <w:rPr>
        <w:rFonts w:cs="Times New Roman"/>
      </w:rPr>
    </w:lvl>
    <w:lvl w:ilvl="1" w:tplc="C1206382">
      <w:start w:val="1"/>
      <w:numFmt w:val="lowerLetter"/>
      <w:lvlText w:val="%2)"/>
      <w:lvlJc w:val="left"/>
      <w:pPr>
        <w:tabs>
          <w:tab w:val="num" w:pos="1260"/>
        </w:tabs>
        <w:snapToGrid/>
        <w:ind w:left="1260" w:hanging="420"/>
      </w:pPr>
      <w:rPr>
        <w:rFonts w:cs="Times New Roman"/>
      </w:rPr>
    </w:lvl>
    <w:lvl w:ilvl="2" w:tplc="F9586184">
      <w:start w:val="1"/>
      <w:numFmt w:val="lowerRoman"/>
      <w:lvlText w:val="%3."/>
      <w:lvlJc w:val="right"/>
      <w:pPr>
        <w:tabs>
          <w:tab w:val="num" w:pos="1680"/>
        </w:tabs>
        <w:snapToGrid/>
        <w:ind w:left="1680" w:hanging="420"/>
      </w:pPr>
      <w:rPr>
        <w:rFonts w:cs="Times New Roman"/>
      </w:rPr>
    </w:lvl>
    <w:lvl w:ilvl="3" w:tplc="75E42F7A">
      <w:start w:val="1"/>
      <w:numFmt w:val="decimal"/>
      <w:lvlText w:val="%4."/>
      <w:lvlJc w:val="left"/>
      <w:pPr>
        <w:tabs>
          <w:tab w:val="num" w:pos="2100"/>
        </w:tabs>
        <w:snapToGrid/>
        <w:ind w:left="2100" w:hanging="420"/>
      </w:pPr>
      <w:rPr>
        <w:rFonts w:cs="Times New Roman"/>
      </w:rPr>
    </w:lvl>
    <w:lvl w:ilvl="4" w:tplc="D64807DA">
      <w:start w:val="1"/>
      <w:numFmt w:val="lowerLetter"/>
      <w:lvlText w:val="%5)"/>
      <w:lvlJc w:val="left"/>
      <w:pPr>
        <w:tabs>
          <w:tab w:val="num" w:pos="2520"/>
        </w:tabs>
        <w:snapToGrid/>
        <w:ind w:left="2520" w:hanging="420"/>
      </w:pPr>
      <w:rPr>
        <w:rFonts w:cs="Times New Roman"/>
      </w:rPr>
    </w:lvl>
    <w:lvl w:ilvl="5" w:tplc="822091B6">
      <w:start w:val="1"/>
      <w:numFmt w:val="lowerRoman"/>
      <w:lvlText w:val="%6."/>
      <w:lvlJc w:val="right"/>
      <w:pPr>
        <w:tabs>
          <w:tab w:val="num" w:pos="2940"/>
        </w:tabs>
        <w:snapToGrid/>
        <w:ind w:left="2940" w:hanging="420"/>
      </w:pPr>
      <w:rPr>
        <w:rFonts w:cs="Times New Roman"/>
      </w:rPr>
    </w:lvl>
    <w:lvl w:ilvl="6" w:tplc="88EE846C">
      <w:start w:val="1"/>
      <w:numFmt w:val="decimal"/>
      <w:lvlText w:val="%7."/>
      <w:lvlJc w:val="left"/>
      <w:pPr>
        <w:tabs>
          <w:tab w:val="num" w:pos="3360"/>
        </w:tabs>
        <w:snapToGrid/>
        <w:ind w:left="3360" w:hanging="420"/>
      </w:pPr>
      <w:rPr>
        <w:rFonts w:cs="Times New Roman"/>
      </w:rPr>
    </w:lvl>
    <w:lvl w:ilvl="7" w:tplc="9A5C3A52">
      <w:start w:val="1"/>
      <w:numFmt w:val="lowerLetter"/>
      <w:lvlText w:val="%8)"/>
      <w:lvlJc w:val="left"/>
      <w:pPr>
        <w:tabs>
          <w:tab w:val="num" w:pos="3780"/>
        </w:tabs>
        <w:snapToGrid/>
        <w:ind w:left="3780" w:hanging="420"/>
      </w:pPr>
      <w:rPr>
        <w:rFonts w:cs="Times New Roman"/>
      </w:rPr>
    </w:lvl>
    <w:lvl w:ilvl="8" w:tplc="DFD8F08A">
      <w:start w:val="1"/>
      <w:numFmt w:val="lowerRoman"/>
      <w:lvlText w:val="%9."/>
      <w:lvlJc w:val="right"/>
      <w:pPr>
        <w:tabs>
          <w:tab w:val="num" w:pos="4200"/>
        </w:tabs>
        <w:snapToGrid/>
        <w:ind w:left="4200" w:hanging="420"/>
      </w:pPr>
      <w:rPr>
        <w:rFonts w:cs="Times New Roman"/>
      </w:rPr>
    </w:lvl>
  </w:abstractNum>
  <w:abstractNum w:abstractNumId="20" w15:restartNumberingAfterBreak="0">
    <w:nsid w:val="4D95029A"/>
    <w:multiLevelType w:val="hybridMultilevel"/>
    <w:tmpl w:val="079893CE"/>
    <w:lvl w:ilvl="0" w:tplc="B95A4662">
      <w:start w:val="1"/>
      <w:numFmt w:val="decimal"/>
      <w:lvlText w:val="%1、"/>
      <w:lvlJc w:val="left"/>
      <w:pPr>
        <w:snapToGrid/>
        <w:ind w:left="900" w:hanging="420"/>
      </w:pPr>
      <w:rPr>
        <w:rFonts w:hint="default"/>
      </w:rPr>
    </w:lvl>
    <w:lvl w:ilvl="1" w:tplc="9CB082EA">
      <w:start w:val="1"/>
      <w:numFmt w:val="lowerLetter"/>
      <w:lvlText w:val="%2)"/>
      <w:lvlJc w:val="left"/>
      <w:pPr>
        <w:snapToGrid/>
        <w:ind w:left="1320" w:hanging="420"/>
      </w:pPr>
    </w:lvl>
    <w:lvl w:ilvl="2" w:tplc="D0224B64">
      <w:start w:val="1"/>
      <w:numFmt w:val="lowerRoman"/>
      <w:lvlText w:val="%3."/>
      <w:lvlJc w:val="right"/>
      <w:pPr>
        <w:snapToGrid/>
        <w:ind w:left="1740" w:hanging="420"/>
      </w:pPr>
    </w:lvl>
    <w:lvl w:ilvl="3" w:tplc="9F0ADD14">
      <w:start w:val="1"/>
      <w:numFmt w:val="decimal"/>
      <w:lvlText w:val="%4."/>
      <w:lvlJc w:val="left"/>
      <w:pPr>
        <w:snapToGrid/>
        <w:ind w:left="2160" w:hanging="420"/>
      </w:pPr>
    </w:lvl>
    <w:lvl w:ilvl="4" w:tplc="FAA092BC">
      <w:start w:val="1"/>
      <w:numFmt w:val="lowerLetter"/>
      <w:lvlText w:val="%5)"/>
      <w:lvlJc w:val="left"/>
      <w:pPr>
        <w:snapToGrid/>
        <w:ind w:left="2580" w:hanging="420"/>
      </w:pPr>
    </w:lvl>
    <w:lvl w:ilvl="5" w:tplc="A85A09BE">
      <w:start w:val="1"/>
      <w:numFmt w:val="lowerRoman"/>
      <w:lvlText w:val="%6."/>
      <w:lvlJc w:val="right"/>
      <w:pPr>
        <w:snapToGrid/>
        <w:ind w:left="3000" w:hanging="420"/>
      </w:pPr>
    </w:lvl>
    <w:lvl w:ilvl="6" w:tplc="1E3A222C">
      <w:start w:val="1"/>
      <w:numFmt w:val="decimal"/>
      <w:lvlText w:val="%7."/>
      <w:lvlJc w:val="left"/>
      <w:pPr>
        <w:snapToGrid/>
        <w:ind w:left="3420" w:hanging="420"/>
      </w:pPr>
    </w:lvl>
    <w:lvl w:ilvl="7" w:tplc="798C8BB4">
      <w:start w:val="1"/>
      <w:numFmt w:val="lowerLetter"/>
      <w:lvlText w:val="%8)"/>
      <w:lvlJc w:val="left"/>
      <w:pPr>
        <w:snapToGrid/>
        <w:ind w:left="3840" w:hanging="420"/>
      </w:pPr>
    </w:lvl>
    <w:lvl w:ilvl="8" w:tplc="F14CA14C">
      <w:start w:val="1"/>
      <w:numFmt w:val="lowerRoman"/>
      <w:lvlText w:val="%9."/>
      <w:lvlJc w:val="right"/>
      <w:pPr>
        <w:snapToGrid/>
        <w:ind w:left="4260" w:hanging="420"/>
      </w:pPr>
    </w:lvl>
  </w:abstractNum>
  <w:abstractNum w:abstractNumId="21" w15:restartNumberingAfterBreak="0">
    <w:nsid w:val="4EA9707C"/>
    <w:multiLevelType w:val="hybridMultilevel"/>
    <w:tmpl w:val="08FCF33A"/>
    <w:lvl w:ilvl="0" w:tplc="97369C96">
      <w:start w:val="1"/>
      <w:numFmt w:val="decimal"/>
      <w:lvlText w:val="%1."/>
      <w:lvlJc w:val="left"/>
      <w:pPr>
        <w:snapToGrid/>
        <w:ind w:left="900" w:hanging="420"/>
      </w:pPr>
      <w:rPr>
        <w:rFonts w:hint="eastAsia"/>
      </w:rPr>
    </w:lvl>
    <w:lvl w:ilvl="1" w:tplc="C60430FE">
      <w:start w:val="1"/>
      <w:numFmt w:val="lowerLetter"/>
      <w:lvlText w:val="%2)"/>
      <w:lvlJc w:val="left"/>
      <w:pPr>
        <w:snapToGrid/>
        <w:ind w:left="1320" w:hanging="420"/>
      </w:pPr>
    </w:lvl>
    <w:lvl w:ilvl="2" w:tplc="E1589D00">
      <w:start w:val="1"/>
      <w:numFmt w:val="lowerRoman"/>
      <w:lvlText w:val="%3."/>
      <w:lvlJc w:val="right"/>
      <w:pPr>
        <w:snapToGrid/>
        <w:ind w:left="1740" w:hanging="420"/>
      </w:pPr>
    </w:lvl>
    <w:lvl w:ilvl="3" w:tplc="7A3A6CE4">
      <w:start w:val="1"/>
      <w:numFmt w:val="decimal"/>
      <w:lvlText w:val="%4."/>
      <w:lvlJc w:val="left"/>
      <w:pPr>
        <w:snapToGrid/>
        <w:ind w:left="2160" w:hanging="420"/>
      </w:pPr>
    </w:lvl>
    <w:lvl w:ilvl="4" w:tplc="CC3E162E">
      <w:start w:val="1"/>
      <w:numFmt w:val="lowerLetter"/>
      <w:lvlText w:val="%5)"/>
      <w:lvlJc w:val="left"/>
      <w:pPr>
        <w:snapToGrid/>
        <w:ind w:left="2580" w:hanging="420"/>
      </w:pPr>
    </w:lvl>
    <w:lvl w:ilvl="5" w:tplc="3F3A0C58">
      <w:start w:val="1"/>
      <w:numFmt w:val="lowerRoman"/>
      <w:lvlText w:val="%6."/>
      <w:lvlJc w:val="right"/>
      <w:pPr>
        <w:snapToGrid/>
        <w:ind w:left="3000" w:hanging="420"/>
      </w:pPr>
    </w:lvl>
    <w:lvl w:ilvl="6" w:tplc="E12859D2">
      <w:start w:val="1"/>
      <w:numFmt w:val="decimal"/>
      <w:lvlText w:val="%7."/>
      <w:lvlJc w:val="left"/>
      <w:pPr>
        <w:snapToGrid/>
        <w:ind w:left="3420" w:hanging="420"/>
      </w:pPr>
    </w:lvl>
    <w:lvl w:ilvl="7" w:tplc="65DE70B6">
      <w:start w:val="1"/>
      <w:numFmt w:val="lowerLetter"/>
      <w:lvlText w:val="%8)"/>
      <w:lvlJc w:val="left"/>
      <w:pPr>
        <w:snapToGrid/>
        <w:ind w:left="3840" w:hanging="420"/>
      </w:pPr>
    </w:lvl>
    <w:lvl w:ilvl="8" w:tplc="96E429EC">
      <w:start w:val="1"/>
      <w:numFmt w:val="lowerRoman"/>
      <w:lvlText w:val="%9."/>
      <w:lvlJc w:val="right"/>
      <w:pPr>
        <w:snapToGrid/>
        <w:ind w:left="4260" w:hanging="420"/>
      </w:pPr>
    </w:lvl>
  </w:abstractNum>
  <w:abstractNum w:abstractNumId="22" w15:restartNumberingAfterBreak="0">
    <w:nsid w:val="50092A30"/>
    <w:multiLevelType w:val="hybridMultilevel"/>
    <w:tmpl w:val="3E84DEF0"/>
    <w:lvl w:ilvl="0" w:tplc="293EB63A">
      <w:start w:val="1"/>
      <w:numFmt w:val="decimal"/>
      <w:lvlText w:val="%1）"/>
      <w:lvlJc w:val="left"/>
      <w:pPr>
        <w:tabs>
          <w:tab w:val="num" w:pos="1260"/>
        </w:tabs>
        <w:snapToGrid/>
        <w:ind w:left="1260" w:hanging="420"/>
      </w:pPr>
      <w:rPr>
        <w:rFonts w:ascii="Times New Roman" w:eastAsia="宋体" w:hAnsi="Times New Roman" w:cs="Times New Roman"/>
      </w:rPr>
    </w:lvl>
    <w:lvl w:ilvl="1" w:tplc="708875D8">
      <w:start w:val="1"/>
      <w:numFmt w:val="bullet"/>
      <w:lvlText w:val=""/>
      <w:lvlJc w:val="left"/>
      <w:pPr>
        <w:tabs>
          <w:tab w:val="num" w:pos="1680"/>
        </w:tabs>
        <w:snapToGrid/>
        <w:ind w:left="1680" w:hanging="420"/>
      </w:pPr>
      <w:rPr>
        <w:rFonts w:ascii="Wingdings" w:hAnsi="Wingdings" w:hint="default"/>
      </w:rPr>
    </w:lvl>
    <w:lvl w:ilvl="2" w:tplc="677C8DBE">
      <w:start w:val="1"/>
      <w:numFmt w:val="bullet"/>
      <w:lvlText w:val=""/>
      <w:lvlJc w:val="left"/>
      <w:pPr>
        <w:tabs>
          <w:tab w:val="num" w:pos="2100"/>
        </w:tabs>
        <w:snapToGrid/>
        <w:ind w:left="2100" w:hanging="420"/>
      </w:pPr>
      <w:rPr>
        <w:rFonts w:ascii="Wingdings" w:hAnsi="Wingdings" w:hint="default"/>
      </w:rPr>
    </w:lvl>
    <w:lvl w:ilvl="3" w:tplc="57DADB6A">
      <w:start w:val="1"/>
      <w:numFmt w:val="bullet"/>
      <w:lvlText w:val=""/>
      <w:lvlJc w:val="left"/>
      <w:pPr>
        <w:tabs>
          <w:tab w:val="num" w:pos="2520"/>
        </w:tabs>
        <w:snapToGrid/>
        <w:ind w:left="2520" w:hanging="420"/>
      </w:pPr>
      <w:rPr>
        <w:rFonts w:ascii="Wingdings" w:hAnsi="Wingdings" w:hint="default"/>
      </w:rPr>
    </w:lvl>
    <w:lvl w:ilvl="4" w:tplc="255A4D50">
      <w:start w:val="1"/>
      <w:numFmt w:val="bullet"/>
      <w:lvlText w:val=""/>
      <w:lvlJc w:val="left"/>
      <w:pPr>
        <w:tabs>
          <w:tab w:val="num" w:pos="2940"/>
        </w:tabs>
        <w:snapToGrid/>
        <w:ind w:left="2940" w:hanging="420"/>
      </w:pPr>
      <w:rPr>
        <w:rFonts w:ascii="Wingdings" w:hAnsi="Wingdings" w:hint="default"/>
      </w:rPr>
    </w:lvl>
    <w:lvl w:ilvl="5" w:tplc="851879D2">
      <w:start w:val="1"/>
      <w:numFmt w:val="bullet"/>
      <w:lvlText w:val=""/>
      <w:lvlJc w:val="left"/>
      <w:pPr>
        <w:tabs>
          <w:tab w:val="num" w:pos="3360"/>
        </w:tabs>
        <w:snapToGrid/>
        <w:ind w:left="3360" w:hanging="420"/>
      </w:pPr>
      <w:rPr>
        <w:rFonts w:ascii="Wingdings" w:hAnsi="Wingdings" w:hint="default"/>
      </w:rPr>
    </w:lvl>
    <w:lvl w:ilvl="6" w:tplc="D9BEDE30">
      <w:start w:val="1"/>
      <w:numFmt w:val="bullet"/>
      <w:lvlText w:val=""/>
      <w:lvlJc w:val="left"/>
      <w:pPr>
        <w:tabs>
          <w:tab w:val="num" w:pos="3780"/>
        </w:tabs>
        <w:snapToGrid/>
        <w:ind w:left="3780" w:hanging="420"/>
      </w:pPr>
      <w:rPr>
        <w:rFonts w:ascii="Wingdings" w:hAnsi="Wingdings" w:hint="default"/>
      </w:rPr>
    </w:lvl>
    <w:lvl w:ilvl="7" w:tplc="90E667D6">
      <w:start w:val="1"/>
      <w:numFmt w:val="bullet"/>
      <w:lvlText w:val=""/>
      <w:lvlJc w:val="left"/>
      <w:pPr>
        <w:tabs>
          <w:tab w:val="num" w:pos="4200"/>
        </w:tabs>
        <w:snapToGrid/>
        <w:ind w:left="4200" w:hanging="420"/>
      </w:pPr>
      <w:rPr>
        <w:rFonts w:ascii="Wingdings" w:hAnsi="Wingdings" w:hint="default"/>
      </w:rPr>
    </w:lvl>
    <w:lvl w:ilvl="8" w:tplc="F33A8752">
      <w:start w:val="1"/>
      <w:numFmt w:val="bullet"/>
      <w:lvlText w:val=""/>
      <w:lvlJc w:val="left"/>
      <w:pPr>
        <w:tabs>
          <w:tab w:val="num" w:pos="4620"/>
        </w:tabs>
        <w:snapToGrid/>
        <w:ind w:left="4620" w:hanging="420"/>
      </w:pPr>
      <w:rPr>
        <w:rFonts w:ascii="Wingdings" w:hAnsi="Wingdings" w:hint="default"/>
      </w:rPr>
    </w:lvl>
  </w:abstractNum>
  <w:abstractNum w:abstractNumId="23" w15:restartNumberingAfterBreak="0">
    <w:nsid w:val="51684924"/>
    <w:multiLevelType w:val="hybridMultilevel"/>
    <w:tmpl w:val="5B16E25E"/>
    <w:lvl w:ilvl="0" w:tplc="BD783A52">
      <w:start w:val="1"/>
      <w:numFmt w:val="decimal"/>
      <w:lvlText w:val="%1）"/>
      <w:lvlJc w:val="left"/>
      <w:pPr>
        <w:tabs>
          <w:tab w:val="num" w:pos="1260"/>
        </w:tabs>
        <w:snapToGrid/>
        <w:ind w:left="1260" w:hanging="420"/>
      </w:pPr>
      <w:rPr>
        <w:rFonts w:ascii="Times New Roman" w:eastAsia="宋体" w:hAnsi="Times New Roman" w:cs="Times New Roman"/>
      </w:rPr>
    </w:lvl>
    <w:lvl w:ilvl="1" w:tplc="C79C2C52">
      <w:start w:val="1"/>
      <w:numFmt w:val="bullet"/>
      <w:lvlText w:val=""/>
      <w:lvlJc w:val="left"/>
      <w:pPr>
        <w:tabs>
          <w:tab w:val="num" w:pos="1680"/>
        </w:tabs>
        <w:snapToGrid/>
        <w:ind w:left="1680" w:hanging="420"/>
      </w:pPr>
      <w:rPr>
        <w:rFonts w:ascii="Wingdings" w:hAnsi="Wingdings" w:hint="default"/>
      </w:rPr>
    </w:lvl>
    <w:lvl w:ilvl="2" w:tplc="980C89A2">
      <w:start w:val="1"/>
      <w:numFmt w:val="bullet"/>
      <w:lvlText w:val=""/>
      <w:lvlJc w:val="left"/>
      <w:pPr>
        <w:tabs>
          <w:tab w:val="num" w:pos="2100"/>
        </w:tabs>
        <w:snapToGrid/>
        <w:ind w:left="2100" w:hanging="420"/>
      </w:pPr>
      <w:rPr>
        <w:rFonts w:ascii="Wingdings" w:hAnsi="Wingdings" w:hint="default"/>
      </w:rPr>
    </w:lvl>
    <w:lvl w:ilvl="3" w:tplc="B2B2E062">
      <w:start w:val="1"/>
      <w:numFmt w:val="bullet"/>
      <w:lvlText w:val=""/>
      <w:lvlJc w:val="left"/>
      <w:pPr>
        <w:tabs>
          <w:tab w:val="num" w:pos="2520"/>
        </w:tabs>
        <w:snapToGrid/>
        <w:ind w:left="2520" w:hanging="420"/>
      </w:pPr>
      <w:rPr>
        <w:rFonts w:ascii="Wingdings" w:hAnsi="Wingdings" w:hint="default"/>
      </w:rPr>
    </w:lvl>
    <w:lvl w:ilvl="4" w:tplc="CD5CD722">
      <w:start w:val="1"/>
      <w:numFmt w:val="bullet"/>
      <w:lvlText w:val=""/>
      <w:lvlJc w:val="left"/>
      <w:pPr>
        <w:tabs>
          <w:tab w:val="num" w:pos="2940"/>
        </w:tabs>
        <w:snapToGrid/>
        <w:ind w:left="2940" w:hanging="420"/>
      </w:pPr>
      <w:rPr>
        <w:rFonts w:ascii="Wingdings" w:hAnsi="Wingdings" w:hint="default"/>
      </w:rPr>
    </w:lvl>
    <w:lvl w:ilvl="5" w:tplc="B09A7070">
      <w:start w:val="1"/>
      <w:numFmt w:val="bullet"/>
      <w:lvlText w:val=""/>
      <w:lvlJc w:val="left"/>
      <w:pPr>
        <w:tabs>
          <w:tab w:val="num" w:pos="3360"/>
        </w:tabs>
        <w:snapToGrid/>
        <w:ind w:left="3360" w:hanging="420"/>
      </w:pPr>
      <w:rPr>
        <w:rFonts w:ascii="Wingdings" w:hAnsi="Wingdings" w:hint="default"/>
      </w:rPr>
    </w:lvl>
    <w:lvl w:ilvl="6" w:tplc="F1F28B2C">
      <w:start w:val="1"/>
      <w:numFmt w:val="bullet"/>
      <w:lvlText w:val=""/>
      <w:lvlJc w:val="left"/>
      <w:pPr>
        <w:tabs>
          <w:tab w:val="num" w:pos="3780"/>
        </w:tabs>
        <w:snapToGrid/>
        <w:ind w:left="3780" w:hanging="420"/>
      </w:pPr>
      <w:rPr>
        <w:rFonts w:ascii="Wingdings" w:hAnsi="Wingdings" w:hint="default"/>
      </w:rPr>
    </w:lvl>
    <w:lvl w:ilvl="7" w:tplc="7BD07A28">
      <w:start w:val="1"/>
      <w:numFmt w:val="bullet"/>
      <w:lvlText w:val=""/>
      <w:lvlJc w:val="left"/>
      <w:pPr>
        <w:tabs>
          <w:tab w:val="num" w:pos="4200"/>
        </w:tabs>
        <w:snapToGrid/>
        <w:ind w:left="4200" w:hanging="420"/>
      </w:pPr>
      <w:rPr>
        <w:rFonts w:ascii="Wingdings" w:hAnsi="Wingdings" w:hint="default"/>
      </w:rPr>
    </w:lvl>
    <w:lvl w:ilvl="8" w:tplc="EB42CE30">
      <w:start w:val="1"/>
      <w:numFmt w:val="bullet"/>
      <w:lvlText w:val=""/>
      <w:lvlJc w:val="left"/>
      <w:pPr>
        <w:tabs>
          <w:tab w:val="num" w:pos="4620"/>
        </w:tabs>
        <w:snapToGrid/>
        <w:ind w:left="4620" w:hanging="420"/>
      </w:pPr>
      <w:rPr>
        <w:rFonts w:ascii="Wingdings" w:hAnsi="Wingdings" w:hint="default"/>
      </w:rPr>
    </w:lvl>
  </w:abstractNum>
  <w:abstractNum w:abstractNumId="24" w15:restartNumberingAfterBreak="0">
    <w:nsid w:val="523B7A30"/>
    <w:multiLevelType w:val="hybridMultilevel"/>
    <w:tmpl w:val="9BE8A202"/>
    <w:lvl w:ilvl="0" w:tplc="B7048F12">
      <w:start w:val="1"/>
      <w:numFmt w:val="decimal"/>
      <w:lvlText w:val="%1、"/>
      <w:lvlJc w:val="left"/>
      <w:pPr>
        <w:snapToGrid/>
        <w:ind w:left="900" w:hanging="420"/>
      </w:pPr>
      <w:rPr>
        <w:rFonts w:hint="default"/>
      </w:rPr>
    </w:lvl>
    <w:lvl w:ilvl="1" w:tplc="19845F28">
      <w:start w:val="1"/>
      <w:numFmt w:val="lowerLetter"/>
      <w:lvlText w:val="%2)"/>
      <w:lvlJc w:val="left"/>
      <w:pPr>
        <w:snapToGrid/>
        <w:ind w:left="1320" w:hanging="420"/>
      </w:pPr>
    </w:lvl>
    <w:lvl w:ilvl="2" w:tplc="D5C6B734">
      <w:start w:val="1"/>
      <w:numFmt w:val="lowerRoman"/>
      <w:lvlText w:val="%3."/>
      <w:lvlJc w:val="right"/>
      <w:pPr>
        <w:snapToGrid/>
        <w:ind w:left="1740" w:hanging="420"/>
      </w:pPr>
    </w:lvl>
    <w:lvl w:ilvl="3" w:tplc="DAB26F78">
      <w:start w:val="1"/>
      <w:numFmt w:val="decimal"/>
      <w:lvlText w:val="%4."/>
      <w:lvlJc w:val="left"/>
      <w:pPr>
        <w:snapToGrid/>
        <w:ind w:left="2160" w:hanging="420"/>
      </w:pPr>
    </w:lvl>
    <w:lvl w:ilvl="4" w:tplc="C29E9A0A">
      <w:start w:val="1"/>
      <w:numFmt w:val="lowerLetter"/>
      <w:lvlText w:val="%5)"/>
      <w:lvlJc w:val="left"/>
      <w:pPr>
        <w:snapToGrid/>
        <w:ind w:left="2580" w:hanging="420"/>
      </w:pPr>
    </w:lvl>
    <w:lvl w:ilvl="5" w:tplc="1BBC4F5E">
      <w:start w:val="1"/>
      <w:numFmt w:val="lowerRoman"/>
      <w:lvlText w:val="%6."/>
      <w:lvlJc w:val="right"/>
      <w:pPr>
        <w:snapToGrid/>
        <w:ind w:left="3000" w:hanging="420"/>
      </w:pPr>
    </w:lvl>
    <w:lvl w:ilvl="6" w:tplc="2E10798E">
      <w:start w:val="1"/>
      <w:numFmt w:val="decimal"/>
      <w:lvlText w:val="%7."/>
      <w:lvlJc w:val="left"/>
      <w:pPr>
        <w:snapToGrid/>
        <w:ind w:left="3420" w:hanging="420"/>
      </w:pPr>
    </w:lvl>
    <w:lvl w:ilvl="7" w:tplc="9D6CE740">
      <w:start w:val="1"/>
      <w:numFmt w:val="lowerLetter"/>
      <w:lvlText w:val="%8)"/>
      <w:lvlJc w:val="left"/>
      <w:pPr>
        <w:snapToGrid/>
        <w:ind w:left="3840" w:hanging="420"/>
      </w:pPr>
    </w:lvl>
    <w:lvl w:ilvl="8" w:tplc="2778708A">
      <w:start w:val="1"/>
      <w:numFmt w:val="lowerRoman"/>
      <w:lvlText w:val="%9."/>
      <w:lvlJc w:val="right"/>
      <w:pPr>
        <w:snapToGrid/>
        <w:ind w:left="4260" w:hanging="420"/>
      </w:pPr>
    </w:lvl>
  </w:abstractNum>
  <w:abstractNum w:abstractNumId="25" w15:restartNumberingAfterBreak="0">
    <w:nsid w:val="53E36FA0"/>
    <w:multiLevelType w:val="hybridMultilevel"/>
    <w:tmpl w:val="49CEE71A"/>
    <w:lvl w:ilvl="0" w:tplc="8760F536">
      <w:start w:val="2"/>
      <w:numFmt w:val="decimal"/>
      <w:lvlText w:val="%1）"/>
      <w:lvlJc w:val="left"/>
      <w:pPr>
        <w:tabs>
          <w:tab w:val="num" w:pos="780"/>
        </w:tabs>
        <w:snapToGrid/>
        <w:ind w:left="780" w:hanging="360"/>
      </w:pPr>
      <w:rPr>
        <w:rFonts w:cs="Times New Roman" w:hint="default"/>
      </w:rPr>
    </w:lvl>
    <w:lvl w:ilvl="1" w:tplc="D4D45AEA">
      <w:start w:val="1"/>
      <w:numFmt w:val="lowerLetter"/>
      <w:lvlText w:val="%2)"/>
      <w:lvlJc w:val="left"/>
      <w:pPr>
        <w:tabs>
          <w:tab w:val="num" w:pos="1260"/>
        </w:tabs>
        <w:snapToGrid/>
        <w:ind w:left="1260" w:hanging="420"/>
      </w:pPr>
      <w:rPr>
        <w:rFonts w:cs="Times New Roman"/>
      </w:rPr>
    </w:lvl>
    <w:lvl w:ilvl="2" w:tplc="5810E310">
      <w:start w:val="1"/>
      <w:numFmt w:val="lowerRoman"/>
      <w:lvlText w:val="%3."/>
      <w:lvlJc w:val="right"/>
      <w:pPr>
        <w:tabs>
          <w:tab w:val="num" w:pos="1680"/>
        </w:tabs>
        <w:snapToGrid/>
        <w:ind w:left="1680" w:hanging="420"/>
      </w:pPr>
      <w:rPr>
        <w:rFonts w:cs="Times New Roman"/>
      </w:rPr>
    </w:lvl>
    <w:lvl w:ilvl="3" w:tplc="961C4E10">
      <w:start w:val="1"/>
      <w:numFmt w:val="decimal"/>
      <w:lvlText w:val="%4."/>
      <w:lvlJc w:val="left"/>
      <w:pPr>
        <w:tabs>
          <w:tab w:val="num" w:pos="2100"/>
        </w:tabs>
        <w:snapToGrid/>
        <w:ind w:left="2100" w:hanging="420"/>
      </w:pPr>
      <w:rPr>
        <w:rFonts w:cs="Times New Roman"/>
      </w:rPr>
    </w:lvl>
    <w:lvl w:ilvl="4" w:tplc="3FAE53DE">
      <w:start w:val="1"/>
      <w:numFmt w:val="lowerLetter"/>
      <w:lvlText w:val="%5)"/>
      <w:lvlJc w:val="left"/>
      <w:pPr>
        <w:tabs>
          <w:tab w:val="num" w:pos="2520"/>
        </w:tabs>
        <w:snapToGrid/>
        <w:ind w:left="2520" w:hanging="420"/>
      </w:pPr>
      <w:rPr>
        <w:rFonts w:cs="Times New Roman"/>
      </w:rPr>
    </w:lvl>
    <w:lvl w:ilvl="5" w:tplc="04C20342">
      <w:start w:val="1"/>
      <w:numFmt w:val="lowerRoman"/>
      <w:lvlText w:val="%6."/>
      <w:lvlJc w:val="right"/>
      <w:pPr>
        <w:tabs>
          <w:tab w:val="num" w:pos="2940"/>
        </w:tabs>
        <w:snapToGrid/>
        <w:ind w:left="2940" w:hanging="420"/>
      </w:pPr>
      <w:rPr>
        <w:rFonts w:cs="Times New Roman"/>
      </w:rPr>
    </w:lvl>
    <w:lvl w:ilvl="6" w:tplc="4CA25F04">
      <w:start w:val="1"/>
      <w:numFmt w:val="decimal"/>
      <w:lvlText w:val="%7."/>
      <w:lvlJc w:val="left"/>
      <w:pPr>
        <w:tabs>
          <w:tab w:val="num" w:pos="3360"/>
        </w:tabs>
        <w:snapToGrid/>
        <w:ind w:left="3360" w:hanging="420"/>
      </w:pPr>
      <w:rPr>
        <w:rFonts w:cs="Times New Roman"/>
      </w:rPr>
    </w:lvl>
    <w:lvl w:ilvl="7" w:tplc="AC024D72">
      <w:start w:val="1"/>
      <w:numFmt w:val="lowerLetter"/>
      <w:lvlText w:val="%8)"/>
      <w:lvlJc w:val="left"/>
      <w:pPr>
        <w:tabs>
          <w:tab w:val="num" w:pos="3780"/>
        </w:tabs>
        <w:snapToGrid/>
        <w:ind w:left="3780" w:hanging="420"/>
      </w:pPr>
      <w:rPr>
        <w:rFonts w:cs="Times New Roman"/>
      </w:rPr>
    </w:lvl>
    <w:lvl w:ilvl="8" w:tplc="9B9E6DF8">
      <w:start w:val="1"/>
      <w:numFmt w:val="lowerRoman"/>
      <w:lvlText w:val="%9."/>
      <w:lvlJc w:val="right"/>
      <w:pPr>
        <w:tabs>
          <w:tab w:val="num" w:pos="4200"/>
        </w:tabs>
        <w:snapToGrid/>
        <w:ind w:left="4200" w:hanging="420"/>
      </w:pPr>
      <w:rPr>
        <w:rFonts w:cs="Times New Roman"/>
      </w:rPr>
    </w:lvl>
  </w:abstractNum>
  <w:abstractNum w:abstractNumId="26" w15:restartNumberingAfterBreak="0">
    <w:nsid w:val="6A28476F"/>
    <w:multiLevelType w:val="hybridMultilevel"/>
    <w:tmpl w:val="42B6D376"/>
    <w:lvl w:ilvl="0" w:tplc="E4343E62">
      <w:start w:val="1"/>
      <w:numFmt w:val="bullet"/>
      <w:lvlText w:val=""/>
      <w:lvlJc w:val="left"/>
      <w:pPr>
        <w:tabs>
          <w:tab w:val="num" w:pos="1260"/>
        </w:tabs>
        <w:snapToGrid/>
        <w:ind w:left="1260" w:hanging="420"/>
      </w:pPr>
      <w:rPr>
        <w:rFonts w:ascii="Wingdings" w:hAnsi="Wingdings" w:hint="default"/>
      </w:rPr>
    </w:lvl>
    <w:lvl w:ilvl="1" w:tplc="B6905BA8">
      <w:start w:val="1"/>
      <w:numFmt w:val="bullet"/>
      <w:lvlText w:val=""/>
      <w:lvlJc w:val="left"/>
      <w:pPr>
        <w:tabs>
          <w:tab w:val="num" w:pos="1680"/>
        </w:tabs>
        <w:snapToGrid/>
        <w:ind w:left="1680" w:hanging="420"/>
      </w:pPr>
      <w:rPr>
        <w:rFonts w:ascii="Wingdings" w:hAnsi="Wingdings" w:hint="default"/>
      </w:rPr>
    </w:lvl>
    <w:lvl w:ilvl="2" w:tplc="D4929726">
      <w:start w:val="1"/>
      <w:numFmt w:val="bullet"/>
      <w:lvlText w:val=""/>
      <w:lvlJc w:val="left"/>
      <w:pPr>
        <w:tabs>
          <w:tab w:val="num" w:pos="2100"/>
        </w:tabs>
        <w:snapToGrid/>
        <w:ind w:left="2100" w:hanging="420"/>
      </w:pPr>
      <w:rPr>
        <w:rFonts w:ascii="Wingdings" w:hAnsi="Wingdings" w:hint="default"/>
      </w:rPr>
    </w:lvl>
    <w:lvl w:ilvl="3" w:tplc="FEE8C010">
      <w:start w:val="1"/>
      <w:numFmt w:val="bullet"/>
      <w:lvlText w:val=""/>
      <w:lvlJc w:val="left"/>
      <w:pPr>
        <w:tabs>
          <w:tab w:val="num" w:pos="2520"/>
        </w:tabs>
        <w:snapToGrid/>
        <w:ind w:left="2520" w:hanging="420"/>
      </w:pPr>
      <w:rPr>
        <w:rFonts w:ascii="Wingdings" w:hAnsi="Wingdings" w:hint="default"/>
      </w:rPr>
    </w:lvl>
    <w:lvl w:ilvl="4" w:tplc="C3368282">
      <w:start w:val="1"/>
      <w:numFmt w:val="bullet"/>
      <w:lvlText w:val=""/>
      <w:lvlJc w:val="left"/>
      <w:pPr>
        <w:tabs>
          <w:tab w:val="num" w:pos="2940"/>
        </w:tabs>
        <w:snapToGrid/>
        <w:ind w:left="2940" w:hanging="420"/>
      </w:pPr>
      <w:rPr>
        <w:rFonts w:ascii="Wingdings" w:hAnsi="Wingdings" w:hint="default"/>
      </w:rPr>
    </w:lvl>
    <w:lvl w:ilvl="5" w:tplc="562EB980">
      <w:start w:val="1"/>
      <w:numFmt w:val="bullet"/>
      <w:lvlText w:val=""/>
      <w:lvlJc w:val="left"/>
      <w:pPr>
        <w:tabs>
          <w:tab w:val="num" w:pos="3360"/>
        </w:tabs>
        <w:snapToGrid/>
        <w:ind w:left="3360" w:hanging="420"/>
      </w:pPr>
      <w:rPr>
        <w:rFonts w:ascii="Wingdings" w:hAnsi="Wingdings" w:hint="default"/>
      </w:rPr>
    </w:lvl>
    <w:lvl w:ilvl="6" w:tplc="D31EE43C">
      <w:start w:val="1"/>
      <w:numFmt w:val="bullet"/>
      <w:lvlText w:val=""/>
      <w:lvlJc w:val="left"/>
      <w:pPr>
        <w:tabs>
          <w:tab w:val="num" w:pos="3780"/>
        </w:tabs>
        <w:snapToGrid/>
        <w:ind w:left="3780" w:hanging="420"/>
      </w:pPr>
      <w:rPr>
        <w:rFonts w:ascii="Wingdings" w:hAnsi="Wingdings" w:hint="default"/>
      </w:rPr>
    </w:lvl>
    <w:lvl w:ilvl="7" w:tplc="6960EEF8">
      <w:start w:val="1"/>
      <w:numFmt w:val="bullet"/>
      <w:lvlText w:val=""/>
      <w:lvlJc w:val="left"/>
      <w:pPr>
        <w:tabs>
          <w:tab w:val="num" w:pos="4200"/>
        </w:tabs>
        <w:snapToGrid/>
        <w:ind w:left="4200" w:hanging="420"/>
      </w:pPr>
      <w:rPr>
        <w:rFonts w:ascii="Wingdings" w:hAnsi="Wingdings" w:hint="default"/>
      </w:rPr>
    </w:lvl>
    <w:lvl w:ilvl="8" w:tplc="4A9A7AE0">
      <w:start w:val="1"/>
      <w:numFmt w:val="bullet"/>
      <w:lvlText w:val=""/>
      <w:lvlJc w:val="left"/>
      <w:pPr>
        <w:tabs>
          <w:tab w:val="num" w:pos="4620"/>
        </w:tabs>
        <w:snapToGrid/>
        <w:ind w:left="4620" w:hanging="420"/>
      </w:pPr>
      <w:rPr>
        <w:rFonts w:ascii="Wingdings" w:hAnsi="Wingdings" w:hint="default"/>
      </w:rPr>
    </w:lvl>
  </w:abstractNum>
  <w:abstractNum w:abstractNumId="27" w15:restartNumberingAfterBreak="0">
    <w:nsid w:val="723B2063"/>
    <w:multiLevelType w:val="hybridMultilevel"/>
    <w:tmpl w:val="77568B64"/>
    <w:lvl w:ilvl="0" w:tplc="E98E7802">
      <w:start w:val="1"/>
      <w:numFmt w:val="decimal"/>
      <w:lvlText w:val="%1）"/>
      <w:lvlJc w:val="left"/>
      <w:pPr>
        <w:tabs>
          <w:tab w:val="num" w:pos="1260"/>
        </w:tabs>
        <w:snapToGrid/>
        <w:ind w:left="1260" w:hanging="420"/>
      </w:pPr>
      <w:rPr>
        <w:rFonts w:ascii="Times New Roman" w:eastAsia="宋体" w:hAnsi="Times New Roman" w:cs="Times New Roman"/>
      </w:rPr>
    </w:lvl>
    <w:lvl w:ilvl="1" w:tplc="85B2A5FC">
      <w:start w:val="1"/>
      <w:numFmt w:val="lowerLetter"/>
      <w:lvlText w:val="%2)"/>
      <w:lvlJc w:val="left"/>
      <w:pPr>
        <w:tabs>
          <w:tab w:val="num" w:pos="840"/>
        </w:tabs>
        <w:snapToGrid/>
        <w:ind w:left="840" w:hanging="420"/>
      </w:pPr>
      <w:rPr>
        <w:rFonts w:cs="Times New Roman"/>
      </w:rPr>
    </w:lvl>
    <w:lvl w:ilvl="2" w:tplc="43220130">
      <w:start w:val="1"/>
      <w:numFmt w:val="lowerRoman"/>
      <w:lvlText w:val="%3."/>
      <w:lvlJc w:val="right"/>
      <w:pPr>
        <w:tabs>
          <w:tab w:val="num" w:pos="1260"/>
        </w:tabs>
        <w:snapToGrid/>
        <w:ind w:left="1260" w:hanging="420"/>
      </w:pPr>
      <w:rPr>
        <w:rFonts w:cs="Times New Roman"/>
      </w:rPr>
    </w:lvl>
    <w:lvl w:ilvl="3" w:tplc="F86A8B6C">
      <w:start w:val="1"/>
      <w:numFmt w:val="decimal"/>
      <w:lvlText w:val="%4."/>
      <w:lvlJc w:val="left"/>
      <w:pPr>
        <w:tabs>
          <w:tab w:val="num" w:pos="1680"/>
        </w:tabs>
        <w:snapToGrid/>
        <w:ind w:left="1680" w:hanging="420"/>
      </w:pPr>
      <w:rPr>
        <w:rFonts w:cs="Times New Roman"/>
      </w:rPr>
    </w:lvl>
    <w:lvl w:ilvl="4" w:tplc="546AFFBA">
      <w:start w:val="1"/>
      <w:numFmt w:val="lowerLetter"/>
      <w:lvlText w:val="%5)"/>
      <w:lvlJc w:val="left"/>
      <w:pPr>
        <w:tabs>
          <w:tab w:val="num" w:pos="2100"/>
        </w:tabs>
        <w:snapToGrid/>
        <w:ind w:left="2100" w:hanging="420"/>
      </w:pPr>
      <w:rPr>
        <w:rFonts w:cs="Times New Roman"/>
      </w:rPr>
    </w:lvl>
    <w:lvl w:ilvl="5" w:tplc="18E68216">
      <w:start w:val="1"/>
      <w:numFmt w:val="lowerRoman"/>
      <w:lvlText w:val="%6."/>
      <w:lvlJc w:val="right"/>
      <w:pPr>
        <w:tabs>
          <w:tab w:val="num" w:pos="2520"/>
        </w:tabs>
        <w:snapToGrid/>
        <w:ind w:left="2520" w:hanging="420"/>
      </w:pPr>
      <w:rPr>
        <w:rFonts w:cs="Times New Roman"/>
      </w:rPr>
    </w:lvl>
    <w:lvl w:ilvl="6" w:tplc="ED20A9A2">
      <w:start w:val="1"/>
      <w:numFmt w:val="decimal"/>
      <w:lvlText w:val="%7."/>
      <w:lvlJc w:val="left"/>
      <w:pPr>
        <w:tabs>
          <w:tab w:val="num" w:pos="2940"/>
        </w:tabs>
        <w:snapToGrid/>
        <w:ind w:left="2940" w:hanging="420"/>
      </w:pPr>
      <w:rPr>
        <w:rFonts w:cs="Times New Roman"/>
      </w:rPr>
    </w:lvl>
    <w:lvl w:ilvl="7" w:tplc="29065648">
      <w:start w:val="1"/>
      <w:numFmt w:val="lowerLetter"/>
      <w:lvlText w:val="%8)"/>
      <w:lvlJc w:val="left"/>
      <w:pPr>
        <w:tabs>
          <w:tab w:val="num" w:pos="3360"/>
        </w:tabs>
        <w:snapToGrid/>
        <w:ind w:left="3360" w:hanging="420"/>
      </w:pPr>
      <w:rPr>
        <w:rFonts w:cs="Times New Roman"/>
      </w:rPr>
    </w:lvl>
    <w:lvl w:ilvl="8" w:tplc="7D44F57E">
      <w:start w:val="1"/>
      <w:numFmt w:val="lowerRoman"/>
      <w:lvlText w:val="%9."/>
      <w:lvlJc w:val="right"/>
      <w:pPr>
        <w:tabs>
          <w:tab w:val="num" w:pos="3780"/>
        </w:tabs>
        <w:snapToGrid/>
        <w:ind w:left="3780" w:hanging="420"/>
      </w:pPr>
      <w:rPr>
        <w:rFonts w:cs="Times New Roman"/>
      </w:rPr>
    </w:lvl>
  </w:abstractNum>
  <w:abstractNum w:abstractNumId="28" w15:restartNumberingAfterBreak="0">
    <w:nsid w:val="755A5A55"/>
    <w:multiLevelType w:val="hybridMultilevel"/>
    <w:tmpl w:val="50DEB35A"/>
    <w:lvl w:ilvl="0" w:tplc="3888208C">
      <w:start w:val="1"/>
      <w:numFmt w:val="bullet"/>
      <w:lvlText w:val=""/>
      <w:lvlJc w:val="left"/>
      <w:pPr>
        <w:tabs>
          <w:tab w:val="num" w:pos="840"/>
        </w:tabs>
        <w:snapToGrid/>
        <w:ind w:left="840" w:hanging="420"/>
      </w:pPr>
      <w:rPr>
        <w:rFonts w:ascii="Wingdings" w:hAnsi="Wingdings" w:hint="default"/>
      </w:rPr>
    </w:lvl>
    <w:lvl w:ilvl="1" w:tplc="F0B03564">
      <w:start w:val="1"/>
      <w:numFmt w:val="bullet"/>
      <w:lvlText w:val=""/>
      <w:lvlJc w:val="left"/>
      <w:pPr>
        <w:tabs>
          <w:tab w:val="num" w:pos="1260"/>
        </w:tabs>
        <w:snapToGrid/>
        <w:ind w:left="1260" w:hanging="420"/>
      </w:pPr>
      <w:rPr>
        <w:rFonts w:ascii="Wingdings" w:hAnsi="Wingdings" w:hint="default"/>
      </w:rPr>
    </w:lvl>
    <w:lvl w:ilvl="2" w:tplc="A0C2D0AA">
      <w:start w:val="1"/>
      <w:numFmt w:val="bullet"/>
      <w:lvlText w:val=""/>
      <w:lvlJc w:val="left"/>
      <w:pPr>
        <w:tabs>
          <w:tab w:val="num" w:pos="1680"/>
        </w:tabs>
        <w:snapToGrid/>
        <w:ind w:left="1680" w:hanging="420"/>
      </w:pPr>
      <w:rPr>
        <w:rFonts w:ascii="Wingdings" w:hAnsi="Wingdings" w:hint="default"/>
      </w:rPr>
    </w:lvl>
    <w:lvl w:ilvl="3" w:tplc="B67EB330">
      <w:start w:val="1"/>
      <w:numFmt w:val="bullet"/>
      <w:lvlText w:val=""/>
      <w:lvlJc w:val="left"/>
      <w:pPr>
        <w:tabs>
          <w:tab w:val="num" w:pos="2100"/>
        </w:tabs>
        <w:snapToGrid/>
        <w:ind w:left="2100" w:hanging="420"/>
      </w:pPr>
      <w:rPr>
        <w:rFonts w:ascii="Wingdings" w:hAnsi="Wingdings" w:hint="default"/>
      </w:rPr>
    </w:lvl>
    <w:lvl w:ilvl="4" w:tplc="AC4A1FF8">
      <w:start w:val="1"/>
      <w:numFmt w:val="bullet"/>
      <w:lvlText w:val=""/>
      <w:lvlJc w:val="left"/>
      <w:pPr>
        <w:tabs>
          <w:tab w:val="num" w:pos="2520"/>
        </w:tabs>
        <w:snapToGrid/>
        <w:ind w:left="2520" w:hanging="420"/>
      </w:pPr>
      <w:rPr>
        <w:rFonts w:ascii="Wingdings" w:hAnsi="Wingdings" w:hint="default"/>
      </w:rPr>
    </w:lvl>
    <w:lvl w:ilvl="5" w:tplc="C10A391E">
      <w:start w:val="1"/>
      <w:numFmt w:val="bullet"/>
      <w:lvlText w:val=""/>
      <w:lvlJc w:val="left"/>
      <w:pPr>
        <w:tabs>
          <w:tab w:val="num" w:pos="2940"/>
        </w:tabs>
        <w:snapToGrid/>
        <w:ind w:left="2940" w:hanging="420"/>
      </w:pPr>
      <w:rPr>
        <w:rFonts w:ascii="Wingdings" w:hAnsi="Wingdings" w:hint="default"/>
      </w:rPr>
    </w:lvl>
    <w:lvl w:ilvl="6" w:tplc="A41C7044">
      <w:start w:val="1"/>
      <w:numFmt w:val="bullet"/>
      <w:lvlText w:val=""/>
      <w:lvlJc w:val="left"/>
      <w:pPr>
        <w:tabs>
          <w:tab w:val="num" w:pos="3360"/>
        </w:tabs>
        <w:snapToGrid/>
        <w:ind w:left="3360" w:hanging="420"/>
      </w:pPr>
      <w:rPr>
        <w:rFonts w:ascii="Wingdings" w:hAnsi="Wingdings" w:hint="default"/>
      </w:rPr>
    </w:lvl>
    <w:lvl w:ilvl="7" w:tplc="4106010E">
      <w:start w:val="1"/>
      <w:numFmt w:val="bullet"/>
      <w:lvlText w:val=""/>
      <w:lvlJc w:val="left"/>
      <w:pPr>
        <w:tabs>
          <w:tab w:val="num" w:pos="3780"/>
        </w:tabs>
        <w:snapToGrid/>
        <w:ind w:left="3780" w:hanging="420"/>
      </w:pPr>
      <w:rPr>
        <w:rFonts w:ascii="Wingdings" w:hAnsi="Wingdings" w:hint="default"/>
      </w:rPr>
    </w:lvl>
    <w:lvl w:ilvl="8" w:tplc="F6907C78">
      <w:start w:val="1"/>
      <w:numFmt w:val="bullet"/>
      <w:lvlText w:val=""/>
      <w:lvlJc w:val="left"/>
      <w:pPr>
        <w:tabs>
          <w:tab w:val="num" w:pos="4200"/>
        </w:tabs>
        <w:snapToGrid/>
        <w:ind w:left="4200" w:hanging="420"/>
      </w:pPr>
      <w:rPr>
        <w:rFonts w:ascii="Wingdings" w:hAnsi="Wingdings" w:hint="default"/>
      </w:rPr>
    </w:lvl>
  </w:abstractNum>
  <w:abstractNum w:abstractNumId="29" w15:restartNumberingAfterBreak="0">
    <w:nsid w:val="777F226A"/>
    <w:multiLevelType w:val="hybridMultilevel"/>
    <w:tmpl w:val="DE50349A"/>
    <w:lvl w:ilvl="0" w:tplc="6CD0D94A">
      <w:start w:val="1"/>
      <w:numFmt w:val="decimal"/>
      <w:lvlText w:val="（%1）"/>
      <w:lvlJc w:val="left"/>
      <w:pPr>
        <w:tabs>
          <w:tab w:val="num" w:pos="840"/>
        </w:tabs>
        <w:snapToGrid/>
        <w:ind w:left="840" w:hanging="420"/>
      </w:pPr>
      <w:rPr>
        <w:rFonts w:ascii="宋体" w:eastAsia="宋体" w:hAnsi="宋体" w:cs="宋体"/>
      </w:rPr>
    </w:lvl>
    <w:lvl w:ilvl="1" w:tplc="784C7E6A">
      <w:start w:val="1"/>
      <w:numFmt w:val="lowerLetter"/>
      <w:lvlText w:val="%2)"/>
      <w:lvlJc w:val="left"/>
      <w:pPr>
        <w:tabs>
          <w:tab w:val="num" w:pos="840"/>
        </w:tabs>
        <w:snapToGrid/>
        <w:ind w:left="840" w:hanging="420"/>
      </w:pPr>
      <w:rPr>
        <w:rFonts w:cs="Times New Roman"/>
      </w:rPr>
    </w:lvl>
    <w:lvl w:ilvl="2" w:tplc="45822062">
      <w:start w:val="1"/>
      <w:numFmt w:val="lowerRoman"/>
      <w:lvlText w:val="%3."/>
      <w:lvlJc w:val="right"/>
      <w:pPr>
        <w:tabs>
          <w:tab w:val="num" w:pos="1260"/>
        </w:tabs>
        <w:snapToGrid/>
        <w:ind w:left="1260" w:hanging="420"/>
      </w:pPr>
      <w:rPr>
        <w:rFonts w:cs="Times New Roman"/>
      </w:rPr>
    </w:lvl>
    <w:lvl w:ilvl="3" w:tplc="C220EE7C">
      <w:start w:val="1"/>
      <w:numFmt w:val="decimal"/>
      <w:lvlText w:val="%4."/>
      <w:lvlJc w:val="left"/>
      <w:pPr>
        <w:tabs>
          <w:tab w:val="num" w:pos="1680"/>
        </w:tabs>
        <w:snapToGrid/>
        <w:ind w:left="1680" w:hanging="420"/>
      </w:pPr>
      <w:rPr>
        <w:rFonts w:cs="Times New Roman"/>
      </w:rPr>
    </w:lvl>
    <w:lvl w:ilvl="4" w:tplc="A586ABC0">
      <w:start w:val="1"/>
      <w:numFmt w:val="lowerLetter"/>
      <w:lvlText w:val="%5)"/>
      <w:lvlJc w:val="left"/>
      <w:pPr>
        <w:tabs>
          <w:tab w:val="num" w:pos="2100"/>
        </w:tabs>
        <w:snapToGrid/>
        <w:ind w:left="2100" w:hanging="420"/>
      </w:pPr>
      <w:rPr>
        <w:rFonts w:cs="Times New Roman"/>
      </w:rPr>
    </w:lvl>
    <w:lvl w:ilvl="5" w:tplc="84CE69F0">
      <w:start w:val="1"/>
      <w:numFmt w:val="lowerRoman"/>
      <w:lvlText w:val="%6."/>
      <w:lvlJc w:val="right"/>
      <w:pPr>
        <w:tabs>
          <w:tab w:val="num" w:pos="2520"/>
        </w:tabs>
        <w:snapToGrid/>
        <w:ind w:left="2520" w:hanging="420"/>
      </w:pPr>
      <w:rPr>
        <w:rFonts w:cs="Times New Roman"/>
      </w:rPr>
    </w:lvl>
    <w:lvl w:ilvl="6" w:tplc="A73A04CE">
      <w:start w:val="1"/>
      <w:numFmt w:val="decimal"/>
      <w:lvlText w:val="%7."/>
      <w:lvlJc w:val="left"/>
      <w:pPr>
        <w:tabs>
          <w:tab w:val="num" w:pos="2940"/>
        </w:tabs>
        <w:snapToGrid/>
        <w:ind w:left="2940" w:hanging="420"/>
      </w:pPr>
      <w:rPr>
        <w:rFonts w:cs="Times New Roman"/>
      </w:rPr>
    </w:lvl>
    <w:lvl w:ilvl="7" w:tplc="A6B4C39A">
      <w:start w:val="1"/>
      <w:numFmt w:val="lowerLetter"/>
      <w:lvlText w:val="%8)"/>
      <w:lvlJc w:val="left"/>
      <w:pPr>
        <w:tabs>
          <w:tab w:val="num" w:pos="3360"/>
        </w:tabs>
        <w:snapToGrid/>
        <w:ind w:left="3360" w:hanging="420"/>
      </w:pPr>
      <w:rPr>
        <w:rFonts w:cs="Times New Roman"/>
      </w:rPr>
    </w:lvl>
    <w:lvl w:ilvl="8" w:tplc="76DA0772">
      <w:start w:val="1"/>
      <w:numFmt w:val="lowerRoman"/>
      <w:lvlText w:val="%9."/>
      <w:lvlJc w:val="right"/>
      <w:pPr>
        <w:tabs>
          <w:tab w:val="num" w:pos="3780"/>
        </w:tabs>
        <w:snapToGrid/>
        <w:ind w:left="3780" w:hanging="420"/>
      </w:pPr>
      <w:rPr>
        <w:rFonts w:cs="Times New Roman"/>
      </w:rPr>
    </w:lvl>
  </w:abstractNum>
  <w:abstractNum w:abstractNumId="30" w15:restartNumberingAfterBreak="0">
    <w:nsid w:val="7B32760F"/>
    <w:multiLevelType w:val="hybridMultilevel"/>
    <w:tmpl w:val="DDF45CF2"/>
    <w:lvl w:ilvl="0" w:tplc="3DE8649C">
      <w:start w:val="1"/>
      <w:numFmt w:val="bullet"/>
      <w:lvlText w:val=""/>
      <w:lvlJc w:val="left"/>
      <w:pPr>
        <w:tabs>
          <w:tab w:val="num" w:pos="840"/>
        </w:tabs>
        <w:snapToGrid/>
        <w:ind w:left="840" w:hanging="420"/>
      </w:pPr>
      <w:rPr>
        <w:rFonts w:ascii="Wingdings" w:hAnsi="Wingdings" w:hint="default"/>
      </w:rPr>
    </w:lvl>
    <w:lvl w:ilvl="1" w:tplc="2056EEE2">
      <w:start w:val="1"/>
      <w:numFmt w:val="bullet"/>
      <w:lvlText w:val=""/>
      <w:lvlJc w:val="left"/>
      <w:pPr>
        <w:tabs>
          <w:tab w:val="num" w:pos="1260"/>
        </w:tabs>
        <w:snapToGrid/>
        <w:ind w:left="1260" w:hanging="420"/>
      </w:pPr>
      <w:rPr>
        <w:rFonts w:ascii="Wingdings" w:hAnsi="Wingdings" w:hint="default"/>
      </w:rPr>
    </w:lvl>
    <w:lvl w:ilvl="2" w:tplc="0F44133C">
      <w:start w:val="1"/>
      <w:numFmt w:val="bullet"/>
      <w:lvlText w:val=""/>
      <w:lvlJc w:val="left"/>
      <w:pPr>
        <w:tabs>
          <w:tab w:val="num" w:pos="1680"/>
        </w:tabs>
        <w:snapToGrid/>
        <w:ind w:left="1680" w:hanging="420"/>
      </w:pPr>
      <w:rPr>
        <w:rFonts w:ascii="Wingdings" w:hAnsi="Wingdings" w:hint="default"/>
      </w:rPr>
    </w:lvl>
    <w:lvl w:ilvl="3" w:tplc="4E382398">
      <w:start w:val="1"/>
      <w:numFmt w:val="bullet"/>
      <w:lvlText w:val=""/>
      <w:lvlJc w:val="left"/>
      <w:pPr>
        <w:tabs>
          <w:tab w:val="num" w:pos="2100"/>
        </w:tabs>
        <w:snapToGrid/>
        <w:ind w:left="2100" w:hanging="420"/>
      </w:pPr>
      <w:rPr>
        <w:rFonts w:ascii="Wingdings" w:hAnsi="Wingdings" w:hint="default"/>
      </w:rPr>
    </w:lvl>
    <w:lvl w:ilvl="4" w:tplc="02E0A82A">
      <w:start w:val="1"/>
      <w:numFmt w:val="bullet"/>
      <w:lvlText w:val=""/>
      <w:lvlJc w:val="left"/>
      <w:pPr>
        <w:tabs>
          <w:tab w:val="num" w:pos="2520"/>
        </w:tabs>
        <w:snapToGrid/>
        <w:ind w:left="2520" w:hanging="420"/>
      </w:pPr>
      <w:rPr>
        <w:rFonts w:ascii="Wingdings" w:hAnsi="Wingdings" w:hint="default"/>
      </w:rPr>
    </w:lvl>
    <w:lvl w:ilvl="5" w:tplc="E810721C">
      <w:start w:val="1"/>
      <w:numFmt w:val="bullet"/>
      <w:lvlText w:val=""/>
      <w:lvlJc w:val="left"/>
      <w:pPr>
        <w:tabs>
          <w:tab w:val="num" w:pos="2940"/>
        </w:tabs>
        <w:snapToGrid/>
        <w:ind w:left="2940" w:hanging="420"/>
      </w:pPr>
      <w:rPr>
        <w:rFonts w:ascii="Wingdings" w:hAnsi="Wingdings" w:hint="default"/>
      </w:rPr>
    </w:lvl>
    <w:lvl w:ilvl="6" w:tplc="2440322C">
      <w:start w:val="1"/>
      <w:numFmt w:val="bullet"/>
      <w:lvlText w:val=""/>
      <w:lvlJc w:val="left"/>
      <w:pPr>
        <w:tabs>
          <w:tab w:val="num" w:pos="3360"/>
        </w:tabs>
        <w:snapToGrid/>
        <w:ind w:left="3360" w:hanging="420"/>
      </w:pPr>
      <w:rPr>
        <w:rFonts w:ascii="Wingdings" w:hAnsi="Wingdings" w:hint="default"/>
      </w:rPr>
    </w:lvl>
    <w:lvl w:ilvl="7" w:tplc="3F1CA8C0">
      <w:start w:val="1"/>
      <w:numFmt w:val="bullet"/>
      <w:lvlText w:val=""/>
      <w:lvlJc w:val="left"/>
      <w:pPr>
        <w:tabs>
          <w:tab w:val="num" w:pos="3780"/>
        </w:tabs>
        <w:snapToGrid/>
        <w:ind w:left="3780" w:hanging="420"/>
      </w:pPr>
      <w:rPr>
        <w:rFonts w:ascii="Wingdings" w:hAnsi="Wingdings" w:hint="default"/>
      </w:rPr>
    </w:lvl>
    <w:lvl w:ilvl="8" w:tplc="62B67B7A">
      <w:start w:val="1"/>
      <w:numFmt w:val="bullet"/>
      <w:lvlText w:val=""/>
      <w:lvlJc w:val="left"/>
      <w:pPr>
        <w:tabs>
          <w:tab w:val="num" w:pos="4200"/>
        </w:tabs>
        <w:snapToGrid/>
        <w:ind w:left="4200" w:hanging="420"/>
      </w:pPr>
      <w:rPr>
        <w:rFonts w:ascii="Wingdings" w:hAnsi="Wingdings" w:hint="default"/>
      </w:rPr>
    </w:lvl>
  </w:abstractNum>
  <w:num w:numId="1">
    <w:abstractNumId w:val="11"/>
  </w:num>
  <w:num w:numId="2">
    <w:abstractNumId w:val="23"/>
  </w:num>
  <w:num w:numId="3">
    <w:abstractNumId w:val="30"/>
  </w:num>
  <w:num w:numId="4">
    <w:abstractNumId w:val="4"/>
  </w:num>
  <w:num w:numId="5">
    <w:abstractNumId w:val="22"/>
  </w:num>
  <w:num w:numId="6">
    <w:abstractNumId w:val="9"/>
  </w:num>
  <w:num w:numId="7">
    <w:abstractNumId w:val="5"/>
  </w:num>
  <w:num w:numId="8">
    <w:abstractNumId w:val="25"/>
  </w:num>
  <w:num w:numId="9">
    <w:abstractNumId w:val="14"/>
  </w:num>
  <w:num w:numId="10">
    <w:abstractNumId w:val="3"/>
  </w:num>
  <w:num w:numId="11">
    <w:abstractNumId w:val="27"/>
  </w:num>
  <w:num w:numId="12">
    <w:abstractNumId w:val="8"/>
  </w:num>
  <w:num w:numId="13">
    <w:abstractNumId w:val="7"/>
  </w:num>
  <w:num w:numId="14">
    <w:abstractNumId w:val="28"/>
  </w:num>
  <w:num w:numId="15">
    <w:abstractNumId w:val="26"/>
  </w:num>
  <w:num w:numId="16">
    <w:abstractNumId w:val="16"/>
  </w:num>
  <w:num w:numId="17">
    <w:abstractNumId w:val="10"/>
  </w:num>
  <w:num w:numId="18">
    <w:abstractNumId w:val="29"/>
  </w:num>
  <w:num w:numId="19">
    <w:abstractNumId w:val="1"/>
  </w:num>
  <w:num w:numId="20">
    <w:abstractNumId w:val="19"/>
  </w:num>
  <w:num w:numId="21">
    <w:abstractNumId w:val="6"/>
  </w:num>
  <w:num w:numId="22">
    <w:abstractNumId w:val="15"/>
  </w:num>
  <w:num w:numId="23">
    <w:abstractNumId w:val="21"/>
  </w:num>
  <w:num w:numId="24">
    <w:abstractNumId w:val="17"/>
  </w:num>
  <w:num w:numId="25">
    <w:abstractNumId w:val="20"/>
  </w:num>
  <w:num w:numId="26">
    <w:abstractNumId w:val="0"/>
  </w:num>
  <w:num w:numId="27">
    <w:abstractNumId w:val="12"/>
  </w:num>
  <w:num w:numId="28">
    <w:abstractNumId w:val="13"/>
  </w:num>
  <w:num w:numId="29">
    <w:abstractNumId w:val="2"/>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5B35"/>
    <w:rsid w:val="001E0F2D"/>
    <w:rsid w:val="00287907"/>
    <w:rsid w:val="002D2B2F"/>
    <w:rsid w:val="003B2C93"/>
    <w:rsid w:val="004F5B35"/>
    <w:rsid w:val="00610203"/>
    <w:rsid w:val="0071344D"/>
    <w:rsid w:val="00753296"/>
    <w:rsid w:val="008C77E4"/>
    <w:rsid w:val="008C7F89"/>
    <w:rsid w:val="009036D3"/>
    <w:rsid w:val="00A53B43"/>
    <w:rsid w:val="00AC5757"/>
    <w:rsid w:val="00AC7663"/>
    <w:rsid w:val="00B97F84"/>
    <w:rsid w:val="00D12DF3"/>
    <w:rsid w:val="00DC7E96"/>
    <w:rsid w:val="00DD2B21"/>
    <w:rsid w:val="00E644C9"/>
    <w:rsid w:val="00ED15FF"/>
    <w:rsid w:val="00ED1DED"/>
    <w:rsid w:val="00EF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37C35"/>
  <w15:docId w15:val="{DBBE01AC-B137-4F56-B4AB-880B5362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35"/>
    <w:pPr>
      <w:widowControl w:val="0"/>
      <w:jc w:val="both"/>
    </w:pPr>
    <w:rPr>
      <w:sz w:val="21"/>
      <w:szCs w:val="24"/>
    </w:rPr>
  </w:style>
  <w:style w:type="paragraph" w:styleId="1">
    <w:name w:val="heading 1"/>
    <w:basedOn w:val="a"/>
    <w:next w:val="a"/>
    <w:link w:val="10"/>
    <w:uiPriority w:val="9"/>
    <w:qFormat/>
    <w:rsid w:val="00B97F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标题 21"/>
    <w:basedOn w:val="a"/>
    <w:next w:val="a"/>
    <w:link w:val="Heading2Char"/>
    <w:uiPriority w:val="9"/>
    <w:unhideWhenUsed/>
    <w:qFormat/>
    <w:rsid w:val="004F5B35"/>
    <w:pPr>
      <w:keepNext/>
      <w:keepLines/>
      <w:spacing w:before="360" w:after="200"/>
      <w:outlineLvl w:val="1"/>
    </w:pPr>
    <w:rPr>
      <w:rFonts w:ascii="Arial" w:hAnsi="Arial" w:cs="Arial"/>
      <w:sz w:val="34"/>
    </w:rPr>
  </w:style>
  <w:style w:type="paragraph" w:customStyle="1" w:styleId="31">
    <w:name w:val="标题 31"/>
    <w:basedOn w:val="a"/>
    <w:next w:val="a"/>
    <w:uiPriority w:val="9"/>
    <w:unhideWhenUsed/>
    <w:qFormat/>
    <w:rsid w:val="004F5B35"/>
    <w:pPr>
      <w:keepNext/>
      <w:keepLines/>
      <w:spacing w:before="320" w:after="200"/>
      <w:outlineLvl w:val="2"/>
    </w:pPr>
    <w:rPr>
      <w:rFonts w:ascii="Arial" w:hAnsi="Arial" w:cs="Arial"/>
      <w:sz w:val="30"/>
      <w:szCs w:val="30"/>
    </w:rPr>
  </w:style>
  <w:style w:type="paragraph" w:customStyle="1" w:styleId="41">
    <w:name w:val="标题 41"/>
    <w:basedOn w:val="a"/>
    <w:next w:val="a"/>
    <w:uiPriority w:val="9"/>
    <w:unhideWhenUsed/>
    <w:qFormat/>
    <w:rsid w:val="004F5B35"/>
    <w:pPr>
      <w:keepNext/>
      <w:keepLines/>
      <w:spacing w:before="320" w:after="200"/>
      <w:outlineLvl w:val="3"/>
    </w:pPr>
    <w:rPr>
      <w:rFonts w:ascii="Arial" w:hAnsi="Arial" w:cs="Arial"/>
      <w:b/>
      <w:bCs/>
      <w:sz w:val="26"/>
      <w:szCs w:val="26"/>
    </w:rPr>
  </w:style>
  <w:style w:type="paragraph" w:customStyle="1" w:styleId="51">
    <w:name w:val="标题 51"/>
    <w:basedOn w:val="a"/>
    <w:next w:val="a"/>
    <w:uiPriority w:val="9"/>
    <w:unhideWhenUsed/>
    <w:qFormat/>
    <w:rsid w:val="004F5B35"/>
    <w:pPr>
      <w:keepNext/>
      <w:keepLines/>
      <w:spacing w:before="320" w:after="200"/>
      <w:outlineLvl w:val="4"/>
    </w:pPr>
    <w:rPr>
      <w:rFonts w:ascii="Arial" w:hAnsi="Arial" w:cs="Arial"/>
      <w:b/>
      <w:bCs/>
      <w:sz w:val="24"/>
    </w:rPr>
  </w:style>
  <w:style w:type="paragraph" w:customStyle="1" w:styleId="61">
    <w:name w:val="标题 61"/>
    <w:basedOn w:val="a"/>
    <w:next w:val="a"/>
    <w:uiPriority w:val="9"/>
    <w:unhideWhenUsed/>
    <w:qFormat/>
    <w:rsid w:val="004F5B35"/>
    <w:pPr>
      <w:keepNext/>
      <w:keepLines/>
      <w:spacing w:before="320" w:after="200"/>
      <w:outlineLvl w:val="5"/>
    </w:pPr>
    <w:rPr>
      <w:rFonts w:ascii="Arial" w:hAnsi="Arial" w:cs="Arial"/>
      <w:b/>
      <w:bCs/>
      <w:sz w:val="22"/>
      <w:szCs w:val="22"/>
    </w:rPr>
  </w:style>
  <w:style w:type="paragraph" w:customStyle="1" w:styleId="71">
    <w:name w:val="标题 71"/>
    <w:basedOn w:val="a"/>
    <w:next w:val="a"/>
    <w:uiPriority w:val="9"/>
    <w:unhideWhenUsed/>
    <w:qFormat/>
    <w:rsid w:val="004F5B35"/>
    <w:pPr>
      <w:keepNext/>
      <w:keepLines/>
      <w:spacing w:before="320" w:after="200"/>
      <w:outlineLvl w:val="6"/>
    </w:pPr>
    <w:rPr>
      <w:rFonts w:ascii="Arial" w:hAnsi="Arial" w:cs="Arial"/>
      <w:b/>
      <w:bCs/>
      <w:i/>
      <w:iCs/>
      <w:sz w:val="22"/>
      <w:szCs w:val="22"/>
    </w:rPr>
  </w:style>
  <w:style w:type="paragraph" w:customStyle="1" w:styleId="81">
    <w:name w:val="标题 81"/>
    <w:basedOn w:val="a"/>
    <w:next w:val="a"/>
    <w:uiPriority w:val="9"/>
    <w:unhideWhenUsed/>
    <w:qFormat/>
    <w:rsid w:val="004F5B35"/>
    <w:pPr>
      <w:keepNext/>
      <w:keepLines/>
      <w:spacing w:before="320" w:after="200"/>
      <w:outlineLvl w:val="7"/>
    </w:pPr>
    <w:rPr>
      <w:rFonts w:ascii="Arial" w:hAnsi="Arial" w:cs="Arial"/>
      <w:i/>
      <w:iCs/>
      <w:sz w:val="22"/>
      <w:szCs w:val="22"/>
    </w:rPr>
  </w:style>
  <w:style w:type="paragraph" w:customStyle="1" w:styleId="91">
    <w:name w:val="标题 91"/>
    <w:basedOn w:val="a"/>
    <w:next w:val="a"/>
    <w:uiPriority w:val="9"/>
    <w:unhideWhenUsed/>
    <w:qFormat/>
    <w:rsid w:val="004F5B35"/>
    <w:pPr>
      <w:keepNext/>
      <w:keepLines/>
      <w:spacing w:before="320" w:after="200"/>
      <w:outlineLvl w:val="8"/>
    </w:pPr>
    <w:rPr>
      <w:rFonts w:ascii="Arial" w:hAnsi="Arial" w:cs="Arial"/>
      <w:i/>
      <w:iCs/>
      <w:szCs w:val="21"/>
    </w:rPr>
  </w:style>
  <w:style w:type="character" w:customStyle="1" w:styleId="TitleChar">
    <w:name w:val="Title Char"/>
    <w:basedOn w:val="a0"/>
    <w:uiPriority w:val="10"/>
    <w:rsid w:val="004F5B35"/>
    <w:rPr>
      <w:sz w:val="48"/>
      <w:szCs w:val="48"/>
    </w:rPr>
  </w:style>
  <w:style w:type="character" w:customStyle="1" w:styleId="SubtitleChar">
    <w:name w:val="Subtitle Char"/>
    <w:basedOn w:val="a0"/>
    <w:uiPriority w:val="11"/>
    <w:rsid w:val="004F5B35"/>
    <w:rPr>
      <w:sz w:val="24"/>
      <w:szCs w:val="24"/>
    </w:rPr>
  </w:style>
  <w:style w:type="character" w:customStyle="1" w:styleId="QuoteChar">
    <w:name w:val="Quote Char"/>
    <w:uiPriority w:val="29"/>
    <w:rsid w:val="004F5B35"/>
    <w:rPr>
      <w:i/>
    </w:rPr>
  </w:style>
  <w:style w:type="character" w:customStyle="1" w:styleId="IntenseQuoteChar">
    <w:name w:val="Intense Quote Char"/>
    <w:uiPriority w:val="30"/>
    <w:rsid w:val="004F5B35"/>
    <w:rPr>
      <w:i/>
    </w:rPr>
  </w:style>
  <w:style w:type="paragraph" w:customStyle="1" w:styleId="11">
    <w:name w:val="题注1"/>
    <w:basedOn w:val="a"/>
    <w:next w:val="a"/>
    <w:uiPriority w:val="35"/>
    <w:semiHidden/>
    <w:unhideWhenUsed/>
    <w:qFormat/>
    <w:rsid w:val="004F5B35"/>
    <w:pPr>
      <w:spacing w:line="276" w:lineRule="auto"/>
    </w:pPr>
    <w:rPr>
      <w:b/>
      <w:bCs/>
      <w:color w:val="4F81BD" w:themeColor="accent1"/>
      <w:sz w:val="18"/>
      <w:szCs w:val="18"/>
    </w:rPr>
  </w:style>
  <w:style w:type="character" w:customStyle="1" w:styleId="CaptionChar">
    <w:name w:val="Caption Char"/>
    <w:uiPriority w:val="99"/>
    <w:rsid w:val="004F5B35"/>
  </w:style>
  <w:style w:type="table" w:customStyle="1" w:styleId="110">
    <w:name w:val="无格式表格 11"/>
    <w:basedOn w:val="a1"/>
    <w:uiPriority w:val="59"/>
    <w:rsid w:val="004F5B3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FFFFF" w:fill="F2F2F2" w:themeFill="text1" w:themeFillTint="0D"/>
      </w:tcPr>
    </w:tblStylePr>
    <w:tblStylePr w:type="band2Vert">
      <w:pPr>
        <w:snapToGrid/>
      </w:pPr>
    </w:tblStylePr>
    <w:tblStylePr w:type="band1Horz">
      <w:pPr>
        <w:snapToGrid/>
      </w:p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rsid w:val="004F5B3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rsid w:val="004F5B35"/>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rsid w:val="004F5B35"/>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rsid w:val="004F5B35"/>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rsid w:val="004F5B3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rsid w:val="004F5B3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rsid w:val="004F5B3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rsid w:val="004F5B3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pPr>
        <w:snapToGrid/>
      </w:pPr>
      <w:rPr>
        <w:rFonts w:ascii="Arial" w:hAnsi="Arial"/>
        <w:b/>
        <w:color w:val="FFFFFF"/>
        <w:sz w:val="22"/>
      </w:rPr>
      <w:tblPr/>
      <w:tcPr>
        <w:shd w:val="clear" w:color="FFFFFF"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FFFFFF" w:fill="000000" w:themeFill="text1"/>
      </w:tcPr>
    </w:tblStylePr>
    <w:tblStylePr w:type="firstCol">
      <w:pPr>
        <w:snapToGrid/>
      </w:pPr>
      <w:rPr>
        <w:rFonts w:ascii="Arial" w:hAnsi="Arial"/>
        <w:b/>
        <w:color w:val="FFFFFF"/>
        <w:sz w:val="22"/>
      </w:rPr>
      <w:tblPr/>
      <w:tcPr>
        <w:shd w:val="clear" w:color="FFFFFF" w:fill="000000" w:themeFill="text1"/>
      </w:tcPr>
    </w:tblStylePr>
    <w:tblStylePr w:type="lastCol">
      <w:pPr>
        <w:snapToGrid/>
      </w:pPr>
      <w:rPr>
        <w:rFonts w:ascii="Arial" w:hAnsi="Arial"/>
        <w:b/>
        <w:color w:val="FFFFFF"/>
        <w:sz w:val="22"/>
      </w:rPr>
      <w:tblPr/>
      <w:tcPr>
        <w:shd w:val="clear" w:color="FFFFFF" w:fill="000000" w:themeFill="text1"/>
      </w:tcPr>
    </w:tblStylePr>
    <w:tblStylePr w:type="band1Vert">
      <w:pPr>
        <w:snapToGrid/>
      </w:pPr>
      <w:tblPr/>
      <w:tcPr>
        <w:shd w:val="clear" w:color="FFFFFF" w:fill="8A8A8A" w:themeFill="text1" w:themeFillTint="75"/>
      </w:tcPr>
    </w:tblStylePr>
    <w:tblStylePr w:type="band2Vert">
      <w:pPr>
        <w:snapToGrid/>
      </w:pPr>
    </w:tblStylePr>
    <w:tblStylePr w:type="band1Horz">
      <w:pPr>
        <w:snapToGrid/>
      </w:pPr>
      <w:tblPr/>
      <w:tcPr>
        <w:shd w:val="clear" w:color="FFFFFF"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rsid w:val="004F5B3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FFFFFF"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rsid w:val="004F5B3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FFFFFF"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rsid w:val="004F5B3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rsid w:val="004F5B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rsid w:val="004F5B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rsid w:val="004F5B3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FFFFF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rsid w:val="004F5B35"/>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FFFFF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rsid w:val="004F5B35"/>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FFFFFF"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FootnoteTextChar">
    <w:name w:val="Footnote Text Char"/>
    <w:uiPriority w:val="99"/>
    <w:rsid w:val="004F5B35"/>
    <w:rPr>
      <w:sz w:val="18"/>
    </w:rPr>
  </w:style>
  <w:style w:type="paragraph" w:styleId="a3">
    <w:name w:val="endnote text"/>
    <w:basedOn w:val="a"/>
    <w:link w:val="a4"/>
    <w:uiPriority w:val="99"/>
    <w:semiHidden/>
    <w:unhideWhenUsed/>
    <w:rsid w:val="004F5B35"/>
    <w:rPr>
      <w:sz w:val="20"/>
    </w:rPr>
  </w:style>
  <w:style w:type="character" w:customStyle="1" w:styleId="a4">
    <w:name w:val="尾注文本 字符"/>
    <w:link w:val="a3"/>
    <w:uiPriority w:val="99"/>
    <w:rsid w:val="004F5B35"/>
    <w:rPr>
      <w:sz w:val="20"/>
    </w:rPr>
  </w:style>
  <w:style w:type="character" w:styleId="a5">
    <w:name w:val="endnote reference"/>
    <w:basedOn w:val="a0"/>
    <w:uiPriority w:val="99"/>
    <w:semiHidden/>
    <w:unhideWhenUsed/>
    <w:rsid w:val="004F5B35"/>
    <w:rPr>
      <w:vertAlign w:val="superscript"/>
    </w:rPr>
  </w:style>
  <w:style w:type="paragraph" w:styleId="a6">
    <w:name w:val="table of figures"/>
    <w:basedOn w:val="a"/>
    <w:next w:val="a"/>
    <w:uiPriority w:val="99"/>
    <w:unhideWhenUsed/>
    <w:rsid w:val="004F5B35"/>
  </w:style>
  <w:style w:type="paragraph" w:customStyle="1" w:styleId="113">
    <w:name w:val="标题 11"/>
    <w:basedOn w:val="a"/>
    <w:next w:val="a"/>
    <w:link w:val="1Char1"/>
    <w:uiPriority w:val="9"/>
    <w:qFormat/>
    <w:rsid w:val="004F5B35"/>
    <w:pPr>
      <w:keepNext/>
      <w:keepLines/>
      <w:spacing w:before="340" w:after="330" w:line="578" w:lineRule="auto"/>
      <w:outlineLvl w:val="0"/>
    </w:pPr>
    <w:rPr>
      <w:b/>
      <w:bCs/>
      <w:sz w:val="44"/>
      <w:szCs w:val="44"/>
    </w:rPr>
  </w:style>
  <w:style w:type="character" w:customStyle="1" w:styleId="Heading1Char">
    <w:name w:val="Heading 1 Char"/>
    <w:basedOn w:val="a0"/>
    <w:uiPriority w:val="9"/>
    <w:rsid w:val="004F5B35"/>
    <w:rPr>
      <w:rFonts w:ascii="Arial" w:hAnsi="Arial" w:cs="Arial"/>
      <w:sz w:val="40"/>
      <w:szCs w:val="40"/>
    </w:rPr>
  </w:style>
  <w:style w:type="character" w:customStyle="1" w:styleId="Heading2Char">
    <w:name w:val="Heading 2 Char"/>
    <w:basedOn w:val="a0"/>
    <w:link w:val="21"/>
    <w:uiPriority w:val="9"/>
    <w:rsid w:val="004F5B35"/>
    <w:rPr>
      <w:rFonts w:ascii="Arial" w:hAnsi="Arial" w:cs="Arial"/>
      <w:sz w:val="34"/>
    </w:rPr>
  </w:style>
  <w:style w:type="paragraph" w:customStyle="1" w:styleId="313">
    <w:name w:val="标题 31"/>
    <w:basedOn w:val="a"/>
    <w:next w:val="a"/>
    <w:link w:val="Heading3Char"/>
    <w:uiPriority w:val="9"/>
    <w:unhideWhenUsed/>
    <w:qFormat/>
    <w:rsid w:val="004F5B35"/>
    <w:pPr>
      <w:keepNext/>
      <w:keepLines/>
      <w:spacing w:before="320" w:after="200"/>
      <w:outlineLvl w:val="2"/>
    </w:pPr>
    <w:rPr>
      <w:rFonts w:ascii="Arial" w:hAnsi="Arial" w:cs="Arial"/>
      <w:sz w:val="28"/>
      <w:szCs w:val="30"/>
    </w:rPr>
  </w:style>
  <w:style w:type="character" w:customStyle="1" w:styleId="Heading3Char">
    <w:name w:val="Heading 3 Char"/>
    <w:basedOn w:val="a0"/>
    <w:link w:val="313"/>
    <w:uiPriority w:val="9"/>
    <w:rsid w:val="004F5B35"/>
    <w:rPr>
      <w:rFonts w:ascii="Arial" w:hAnsi="Arial" w:cs="Arial"/>
      <w:sz w:val="30"/>
      <w:szCs w:val="30"/>
    </w:rPr>
  </w:style>
  <w:style w:type="paragraph" w:customStyle="1" w:styleId="413">
    <w:name w:val="标题 41"/>
    <w:basedOn w:val="a"/>
    <w:next w:val="a"/>
    <w:link w:val="Heading4Char"/>
    <w:uiPriority w:val="9"/>
    <w:unhideWhenUsed/>
    <w:qFormat/>
    <w:rsid w:val="004F5B35"/>
    <w:pPr>
      <w:keepNext/>
      <w:keepLines/>
      <w:spacing w:before="320" w:after="200"/>
      <w:outlineLvl w:val="3"/>
    </w:pPr>
    <w:rPr>
      <w:rFonts w:ascii="Arial" w:hAnsi="Arial" w:cs="Arial"/>
      <w:b/>
      <w:bCs/>
      <w:sz w:val="26"/>
      <w:szCs w:val="26"/>
    </w:rPr>
  </w:style>
  <w:style w:type="character" w:customStyle="1" w:styleId="Heading4Char">
    <w:name w:val="Heading 4 Char"/>
    <w:basedOn w:val="a0"/>
    <w:link w:val="413"/>
    <w:uiPriority w:val="9"/>
    <w:rsid w:val="004F5B35"/>
    <w:rPr>
      <w:rFonts w:ascii="Arial" w:hAnsi="Arial" w:cs="Arial"/>
      <w:b/>
      <w:bCs/>
      <w:sz w:val="26"/>
      <w:szCs w:val="26"/>
    </w:rPr>
  </w:style>
  <w:style w:type="paragraph" w:customStyle="1" w:styleId="513">
    <w:name w:val="标题 51"/>
    <w:basedOn w:val="a"/>
    <w:next w:val="a"/>
    <w:link w:val="Heading5Char"/>
    <w:uiPriority w:val="9"/>
    <w:unhideWhenUsed/>
    <w:qFormat/>
    <w:rsid w:val="004F5B35"/>
    <w:pPr>
      <w:keepNext/>
      <w:keepLines/>
      <w:spacing w:before="320" w:after="200"/>
      <w:outlineLvl w:val="4"/>
    </w:pPr>
    <w:rPr>
      <w:rFonts w:ascii="Arial" w:hAnsi="Arial" w:cs="Arial"/>
      <w:b/>
      <w:bCs/>
      <w:sz w:val="24"/>
    </w:rPr>
  </w:style>
  <w:style w:type="character" w:customStyle="1" w:styleId="Heading5Char">
    <w:name w:val="Heading 5 Char"/>
    <w:basedOn w:val="a0"/>
    <w:link w:val="513"/>
    <w:uiPriority w:val="9"/>
    <w:rsid w:val="004F5B35"/>
    <w:rPr>
      <w:rFonts w:ascii="Arial" w:hAnsi="Arial" w:cs="Arial"/>
      <w:b/>
      <w:bCs/>
      <w:sz w:val="24"/>
      <w:szCs w:val="24"/>
    </w:rPr>
  </w:style>
  <w:style w:type="paragraph" w:customStyle="1" w:styleId="612">
    <w:name w:val="标题 61"/>
    <w:basedOn w:val="a"/>
    <w:next w:val="a"/>
    <w:link w:val="Heading6Char"/>
    <w:uiPriority w:val="9"/>
    <w:unhideWhenUsed/>
    <w:qFormat/>
    <w:rsid w:val="004F5B35"/>
    <w:pPr>
      <w:keepNext/>
      <w:keepLines/>
      <w:spacing w:before="320" w:after="200"/>
      <w:outlineLvl w:val="5"/>
    </w:pPr>
    <w:rPr>
      <w:rFonts w:ascii="Arial" w:hAnsi="Arial" w:cs="Arial"/>
      <w:b/>
      <w:bCs/>
      <w:sz w:val="22"/>
      <w:szCs w:val="22"/>
    </w:rPr>
  </w:style>
  <w:style w:type="character" w:customStyle="1" w:styleId="Heading6Char">
    <w:name w:val="Heading 6 Char"/>
    <w:basedOn w:val="a0"/>
    <w:link w:val="612"/>
    <w:uiPriority w:val="9"/>
    <w:rsid w:val="004F5B35"/>
    <w:rPr>
      <w:rFonts w:ascii="Arial" w:hAnsi="Arial" w:cs="Arial"/>
      <w:b/>
      <w:bCs/>
      <w:sz w:val="22"/>
      <w:szCs w:val="22"/>
    </w:rPr>
  </w:style>
  <w:style w:type="paragraph" w:customStyle="1" w:styleId="712">
    <w:name w:val="标题 71"/>
    <w:basedOn w:val="a"/>
    <w:next w:val="a"/>
    <w:link w:val="Heading7Char"/>
    <w:uiPriority w:val="9"/>
    <w:unhideWhenUsed/>
    <w:qFormat/>
    <w:rsid w:val="004F5B35"/>
    <w:pPr>
      <w:keepNext/>
      <w:keepLines/>
      <w:spacing w:before="320" w:after="200"/>
      <w:outlineLvl w:val="6"/>
    </w:pPr>
    <w:rPr>
      <w:rFonts w:ascii="Arial" w:hAnsi="Arial" w:cs="Arial"/>
      <w:b/>
      <w:bCs/>
      <w:i/>
      <w:iCs/>
      <w:sz w:val="22"/>
      <w:szCs w:val="22"/>
    </w:rPr>
  </w:style>
  <w:style w:type="character" w:customStyle="1" w:styleId="Heading7Char">
    <w:name w:val="Heading 7 Char"/>
    <w:basedOn w:val="a0"/>
    <w:link w:val="712"/>
    <w:uiPriority w:val="9"/>
    <w:rsid w:val="004F5B35"/>
    <w:rPr>
      <w:rFonts w:ascii="Arial" w:hAnsi="Arial" w:cs="Arial"/>
      <w:b/>
      <w:bCs/>
      <w:i/>
      <w:iCs/>
      <w:sz w:val="22"/>
      <w:szCs w:val="22"/>
    </w:rPr>
  </w:style>
  <w:style w:type="paragraph" w:customStyle="1" w:styleId="810">
    <w:name w:val="标题 81"/>
    <w:basedOn w:val="a"/>
    <w:next w:val="a"/>
    <w:link w:val="Heading8Char"/>
    <w:uiPriority w:val="9"/>
    <w:unhideWhenUsed/>
    <w:qFormat/>
    <w:rsid w:val="004F5B35"/>
    <w:pPr>
      <w:keepNext/>
      <w:keepLines/>
      <w:spacing w:before="320" w:after="200"/>
      <w:outlineLvl w:val="7"/>
    </w:pPr>
    <w:rPr>
      <w:rFonts w:ascii="Arial" w:hAnsi="Arial" w:cs="Arial"/>
      <w:i/>
      <w:iCs/>
      <w:sz w:val="22"/>
      <w:szCs w:val="22"/>
    </w:rPr>
  </w:style>
  <w:style w:type="character" w:customStyle="1" w:styleId="Heading8Char">
    <w:name w:val="Heading 8 Char"/>
    <w:basedOn w:val="a0"/>
    <w:link w:val="810"/>
    <w:uiPriority w:val="9"/>
    <w:rsid w:val="004F5B35"/>
    <w:rPr>
      <w:rFonts w:ascii="Arial" w:hAnsi="Arial" w:cs="Arial"/>
      <w:i/>
      <w:iCs/>
      <w:sz w:val="22"/>
      <w:szCs w:val="22"/>
    </w:rPr>
  </w:style>
  <w:style w:type="paragraph" w:customStyle="1" w:styleId="910">
    <w:name w:val="标题 91"/>
    <w:basedOn w:val="a"/>
    <w:next w:val="a"/>
    <w:link w:val="Heading9Char"/>
    <w:uiPriority w:val="9"/>
    <w:unhideWhenUsed/>
    <w:qFormat/>
    <w:rsid w:val="004F5B35"/>
    <w:pPr>
      <w:keepNext/>
      <w:keepLines/>
      <w:spacing w:before="320" w:after="200"/>
      <w:outlineLvl w:val="8"/>
    </w:pPr>
    <w:rPr>
      <w:rFonts w:ascii="Arial" w:hAnsi="Arial" w:cs="Arial"/>
      <w:i/>
      <w:iCs/>
      <w:szCs w:val="21"/>
    </w:rPr>
  </w:style>
  <w:style w:type="character" w:customStyle="1" w:styleId="Heading9Char">
    <w:name w:val="Heading 9 Char"/>
    <w:basedOn w:val="a0"/>
    <w:link w:val="910"/>
    <w:uiPriority w:val="9"/>
    <w:rsid w:val="004F5B35"/>
    <w:rPr>
      <w:rFonts w:ascii="Arial" w:hAnsi="Arial" w:cs="Arial"/>
      <w:i/>
      <w:iCs/>
      <w:sz w:val="21"/>
      <w:szCs w:val="21"/>
    </w:rPr>
  </w:style>
  <w:style w:type="paragraph" w:styleId="a7">
    <w:name w:val="No Spacing"/>
    <w:uiPriority w:val="1"/>
    <w:qFormat/>
    <w:rsid w:val="004F5B35"/>
  </w:style>
  <w:style w:type="paragraph" w:styleId="a8">
    <w:name w:val="Title"/>
    <w:basedOn w:val="a"/>
    <w:next w:val="a"/>
    <w:link w:val="a9"/>
    <w:uiPriority w:val="10"/>
    <w:qFormat/>
    <w:rsid w:val="004F5B35"/>
    <w:pPr>
      <w:spacing w:before="300" w:after="200"/>
      <w:contextualSpacing/>
    </w:pPr>
    <w:rPr>
      <w:sz w:val="28"/>
      <w:szCs w:val="48"/>
    </w:rPr>
  </w:style>
  <w:style w:type="character" w:customStyle="1" w:styleId="a9">
    <w:name w:val="标题 字符"/>
    <w:basedOn w:val="a0"/>
    <w:link w:val="a8"/>
    <w:uiPriority w:val="10"/>
    <w:rsid w:val="004F5B35"/>
    <w:rPr>
      <w:sz w:val="48"/>
      <w:szCs w:val="48"/>
    </w:rPr>
  </w:style>
  <w:style w:type="paragraph" w:styleId="aa">
    <w:name w:val="Subtitle"/>
    <w:basedOn w:val="a"/>
    <w:next w:val="a"/>
    <w:link w:val="ab"/>
    <w:uiPriority w:val="11"/>
    <w:qFormat/>
    <w:rsid w:val="004F5B35"/>
    <w:pPr>
      <w:spacing w:before="200" w:after="200"/>
    </w:pPr>
    <w:rPr>
      <w:sz w:val="24"/>
    </w:rPr>
  </w:style>
  <w:style w:type="character" w:customStyle="1" w:styleId="ab">
    <w:name w:val="副标题 字符"/>
    <w:basedOn w:val="a0"/>
    <w:link w:val="aa"/>
    <w:uiPriority w:val="11"/>
    <w:rsid w:val="004F5B35"/>
    <w:rPr>
      <w:sz w:val="24"/>
      <w:szCs w:val="24"/>
    </w:rPr>
  </w:style>
  <w:style w:type="paragraph" w:styleId="ac">
    <w:name w:val="Quote"/>
    <w:basedOn w:val="a"/>
    <w:next w:val="a"/>
    <w:link w:val="ad"/>
    <w:uiPriority w:val="29"/>
    <w:qFormat/>
    <w:rsid w:val="004F5B35"/>
    <w:pPr>
      <w:ind w:left="720" w:right="720"/>
    </w:pPr>
    <w:rPr>
      <w:i/>
    </w:rPr>
  </w:style>
  <w:style w:type="character" w:customStyle="1" w:styleId="ad">
    <w:name w:val="引用 字符"/>
    <w:link w:val="ac"/>
    <w:uiPriority w:val="29"/>
    <w:rsid w:val="004F5B35"/>
    <w:rPr>
      <w:i/>
    </w:rPr>
  </w:style>
  <w:style w:type="paragraph" w:styleId="ae">
    <w:name w:val="Intense Quote"/>
    <w:basedOn w:val="a"/>
    <w:next w:val="a"/>
    <w:link w:val="af"/>
    <w:uiPriority w:val="30"/>
    <w:qFormat/>
    <w:rsid w:val="004F5B3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
    <w:name w:val="明显引用 字符"/>
    <w:link w:val="ae"/>
    <w:uiPriority w:val="30"/>
    <w:rsid w:val="004F5B35"/>
    <w:rPr>
      <w:i/>
    </w:rPr>
  </w:style>
  <w:style w:type="character" w:customStyle="1" w:styleId="HeaderChar">
    <w:name w:val="Header Char"/>
    <w:basedOn w:val="a0"/>
    <w:uiPriority w:val="99"/>
    <w:rsid w:val="004F5B35"/>
  </w:style>
  <w:style w:type="character" w:customStyle="1" w:styleId="FooterChar">
    <w:name w:val="Footer Char"/>
    <w:basedOn w:val="a0"/>
    <w:uiPriority w:val="99"/>
    <w:rsid w:val="004F5B35"/>
  </w:style>
  <w:style w:type="table" w:styleId="af0">
    <w:name w:val="Table Grid"/>
    <w:basedOn w:val="a1"/>
    <w:uiPriority w:val="59"/>
    <w:rsid w:val="004F5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rsid w:val="004F5B3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4">
    <w:name w:val="无格式表格 11"/>
    <w:basedOn w:val="a1"/>
    <w:uiPriority w:val="59"/>
    <w:rsid w:val="004F5B3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2F2F2" w:fill="FFFFFF" w:themeFill="text1" w:themeFillTint="00"/>
      </w:tcPr>
    </w:tblStylePr>
    <w:tblStylePr w:type="band2Vert">
      <w:pPr>
        <w:snapToGrid/>
      </w:pPr>
    </w:tblStylePr>
    <w:tblStylePr w:type="band1Horz">
      <w:pPr>
        <w:snapToGrid/>
      </w:pPr>
      <w:tblPr/>
      <w:tcPr>
        <w:shd w:val="clear" w:color="F2F2F2"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3">
    <w:name w:val="无格式表格 21"/>
    <w:basedOn w:val="a1"/>
    <w:uiPriority w:val="59"/>
    <w:rsid w:val="004F5B3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4">
    <w:name w:val="无格式表格 31"/>
    <w:basedOn w:val="a1"/>
    <w:uiPriority w:val="99"/>
    <w:rsid w:val="004F5B35"/>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2F2F2" w:fill="FFFFFF" w:themeFill="text1" w:themeFillTint="00"/>
      </w:tcPr>
    </w:tblStylePr>
    <w:tblStylePr w:type="band2Vert">
      <w:pPr>
        <w:snapToGrid/>
      </w:pPr>
    </w:tblStylePr>
    <w:tblStylePr w:type="band1Horz">
      <w:pPr>
        <w:snapToGrid/>
      </w:pPr>
      <w:rPr>
        <w:rFonts w:ascii="Arial" w:hAnsi="Arial"/>
        <w:color w:val="404040"/>
        <w:sz w:val="22"/>
      </w:rPr>
      <w:tblPr/>
      <w:tcPr>
        <w:shd w:val="clear" w:color="F2F2F2"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4">
    <w:name w:val="无格式表格 41"/>
    <w:basedOn w:val="a1"/>
    <w:uiPriority w:val="99"/>
    <w:rsid w:val="004F5B35"/>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F2F2" w:fill="FFFFFF" w:themeFill="text1" w:themeFillTint="00"/>
      </w:tcPr>
    </w:tblStylePr>
    <w:tblStylePr w:type="band2Vert">
      <w:pPr>
        <w:snapToGrid/>
      </w:pPr>
    </w:tblStylePr>
    <w:tblStylePr w:type="band1Horz">
      <w:pPr>
        <w:snapToGrid/>
      </w:pPr>
      <w:rPr>
        <w:rFonts w:ascii="Arial" w:hAnsi="Arial"/>
        <w:color w:val="404040"/>
        <w:sz w:val="22"/>
      </w:rPr>
      <w:tblPr/>
      <w:tcPr>
        <w:shd w:val="clear" w:color="F2F2F2"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4">
    <w:name w:val="无格式表格 51"/>
    <w:basedOn w:val="a1"/>
    <w:uiPriority w:val="99"/>
    <w:rsid w:val="004F5B35"/>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2F2F2" w:fill="FFFFFF" w:themeFill="text1" w:themeFillTint="00"/>
      </w:tcPr>
    </w:tblStylePr>
    <w:tblStylePr w:type="band2Vert">
      <w:pPr>
        <w:snapToGrid/>
      </w:pPr>
    </w:tblStylePr>
    <w:tblStylePr w:type="band1Horz">
      <w:pPr>
        <w:snapToGrid/>
      </w:pPr>
      <w:rPr>
        <w:rFonts w:ascii="Arial" w:hAnsi="Arial"/>
        <w:color w:val="404040"/>
        <w:sz w:val="22"/>
      </w:rPr>
      <w:tblPr/>
      <w:tcPr>
        <w:shd w:val="clear" w:color="F2F2F2" w:fill="FFFFFF" w:themeFill="text1" w:themeFillTint="0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5">
    <w:name w:val="网格表 1 浅色1"/>
    <w:basedOn w:val="a1"/>
    <w:uiPriority w:val="99"/>
    <w:rsid w:val="004F5B3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rsid w:val="004F5B3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4F5B3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rsid w:val="004F5B3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rsid w:val="004F5B3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rsid w:val="004F5B3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rsid w:val="004F5B3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4">
    <w:name w:val="网格表 21"/>
    <w:basedOn w:val="a1"/>
    <w:uiPriority w:val="99"/>
    <w:rsid w:val="004F5B3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rsid w:val="004F5B3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pPr>
        <w:snapToGrid/>
      </w:pPr>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rsid w:val="004F5B3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pPr>
        <w:snapToGrid/>
      </w:pPr>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rsid w:val="004F5B3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pPr>
        <w:snapToGrid/>
      </w:pPr>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rsid w:val="004F5B3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pPr>
        <w:snapToGrid/>
      </w:pPr>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rsid w:val="004F5B3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rsid w:val="004F5B3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5">
    <w:name w:val="网格表 31"/>
    <w:basedOn w:val="a1"/>
    <w:uiPriority w:val="99"/>
    <w:rsid w:val="004F5B3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rsid w:val="004F5B3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5F1"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DAE5F1"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rsid w:val="004F5B3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rsid w:val="004F5B3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rsid w:val="004F5B3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rsid w:val="004F5B3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rsid w:val="004F5B3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5">
    <w:name w:val="网格表 41"/>
    <w:basedOn w:val="a1"/>
    <w:uiPriority w:val="59"/>
    <w:rsid w:val="004F5B3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hemeFill="text1" w:themeFillTint="34"/>
      </w:tcPr>
    </w:tblStylePr>
    <w:tblStylePr w:type="band2Vert">
      <w:pPr>
        <w:snapToGrid/>
      </w:pPr>
    </w:tblStylePr>
    <w:tblStylePr w:type="band1Horz">
      <w:pPr>
        <w:snapToGrid/>
      </w:pPr>
      <w:rPr>
        <w:rFonts w:ascii="Arial" w:hAnsi="Arial"/>
        <w:color w:val="404040"/>
        <w:sz w:val="22"/>
      </w:rPr>
      <w:tblPr/>
      <w:tcPr>
        <w:shd w:val="clear" w:color="CBCBCB"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rsid w:val="004F5B3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CE6F2"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DCE6F2"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rsid w:val="004F5B3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2DCDC"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rsid w:val="004F5B3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EAF1DC"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rsid w:val="004F5B3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E5DFEC"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rsid w:val="004F5B3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DAEEF3"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rsid w:val="004F5B3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DE9D8"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5">
    <w:name w:val="网格表 5 深色1"/>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pPr>
        <w:snapToGrid/>
      </w:pPr>
      <w:rPr>
        <w:rFonts w:ascii="Arial" w:hAnsi="Arial"/>
        <w:b/>
        <w:color w:val="FFFFFF"/>
        <w:sz w:val="22"/>
      </w:rPr>
      <w:tblPr/>
      <w:tcPr>
        <w:shd w:val="clear" w:color="000000"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000000" w:fill="000000" w:themeFill="text1"/>
      </w:tcPr>
    </w:tblStylePr>
    <w:tblStylePr w:type="firstCol">
      <w:pPr>
        <w:snapToGrid/>
      </w:pPr>
      <w:rPr>
        <w:rFonts w:ascii="Arial" w:hAnsi="Arial"/>
        <w:b/>
        <w:color w:val="FFFFFF"/>
        <w:sz w:val="22"/>
      </w:rPr>
      <w:tblPr/>
      <w:tcPr>
        <w:shd w:val="clear" w:color="000000" w:fill="000000" w:themeFill="text1"/>
      </w:tcPr>
    </w:tblStylePr>
    <w:tblStylePr w:type="lastCol">
      <w:pPr>
        <w:snapToGrid/>
      </w:pPr>
      <w:rPr>
        <w:rFonts w:ascii="Arial" w:hAnsi="Arial"/>
        <w:b/>
        <w:color w:val="FFFFFF"/>
        <w:sz w:val="22"/>
      </w:rPr>
      <w:tblPr/>
      <w:tcPr>
        <w:shd w:val="clear" w:color="000000" w:fill="000000" w:themeFill="text1"/>
      </w:tcPr>
    </w:tblStylePr>
    <w:tblStylePr w:type="band1Vert">
      <w:pPr>
        <w:snapToGrid/>
      </w:pPr>
      <w:tblPr/>
      <w:tcPr>
        <w:shd w:val="clear" w:color="8A8A8A" w:fill="8A8A8A" w:themeFill="text1" w:themeFillTint="75"/>
      </w:tcPr>
    </w:tblStylePr>
    <w:tblStylePr w:type="band2Vert">
      <w:pPr>
        <w:snapToGrid/>
      </w:pPr>
    </w:tblStylePr>
    <w:tblStylePr w:type="band1Horz">
      <w:pPr>
        <w:snapToGrid/>
      </w:pPr>
      <w:tblPr/>
      <w:tcPr>
        <w:shd w:val="clear" w:color="8A8A8A"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pPr>
        <w:snapToGrid/>
      </w:pPr>
      <w:rPr>
        <w:rFonts w:ascii="Arial" w:hAnsi="Arial"/>
        <w:b/>
        <w:color w:val="FFFFFF"/>
        <w:sz w:val="22"/>
      </w:rPr>
      <w:tblPr/>
      <w:tcPr>
        <w:shd w:val="clear" w:color="4F81BD"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4F81BD" w:fill="4F81BD" w:themeFill="accent1"/>
      </w:tcPr>
    </w:tblStylePr>
    <w:tblStylePr w:type="firstCol">
      <w:pPr>
        <w:snapToGrid/>
      </w:pPr>
      <w:rPr>
        <w:rFonts w:ascii="Arial" w:hAnsi="Arial"/>
        <w:b/>
        <w:color w:val="FFFFFF"/>
        <w:sz w:val="22"/>
      </w:rPr>
      <w:tblPr/>
      <w:tcPr>
        <w:shd w:val="clear" w:color="4F81BD" w:fill="4F81BD" w:themeFill="accent1"/>
      </w:tcPr>
    </w:tblStylePr>
    <w:tblStylePr w:type="lastCol">
      <w:pPr>
        <w:snapToGrid/>
      </w:pPr>
      <w:rPr>
        <w:rFonts w:ascii="Arial" w:hAnsi="Arial"/>
        <w:b/>
        <w:color w:val="FFFFFF"/>
        <w:sz w:val="22"/>
      </w:rPr>
      <w:tblPr/>
      <w:tcPr>
        <w:shd w:val="clear" w:color="4F81BD" w:fill="4F81BD" w:themeFill="accent1"/>
      </w:tcPr>
    </w:tblStylePr>
    <w:tblStylePr w:type="band1Vert">
      <w:pPr>
        <w:snapToGrid/>
      </w:pPr>
      <w:tblPr/>
      <w:tcPr>
        <w:shd w:val="clear" w:color="AEC4E0" w:fill="AEC4E0" w:themeFill="accent1" w:themeFillTint="75"/>
      </w:tcPr>
    </w:tblStylePr>
    <w:tblStylePr w:type="band2Vert">
      <w:pPr>
        <w:snapToGrid/>
      </w:pPr>
    </w:tblStylePr>
    <w:tblStylePr w:type="band1Horz">
      <w:pPr>
        <w:snapToGrid/>
      </w:pPr>
      <w:tblPr/>
      <w:tcPr>
        <w:shd w:val="clear" w:color="AEC4E0"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pPr>
        <w:snapToGrid/>
      </w:pPr>
      <w:rPr>
        <w:rFonts w:ascii="Arial" w:hAnsi="Arial"/>
        <w:b/>
        <w:color w:val="FFFFFF"/>
        <w:sz w:val="22"/>
      </w:rPr>
      <w:tblPr/>
      <w:tcPr>
        <w:shd w:val="clear" w:color="C0504D"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C0504D" w:fill="C0504D" w:themeFill="accent2"/>
      </w:tcPr>
    </w:tblStylePr>
    <w:tblStylePr w:type="firstCol">
      <w:pPr>
        <w:snapToGrid/>
      </w:pPr>
      <w:rPr>
        <w:rFonts w:ascii="Arial" w:hAnsi="Arial"/>
        <w:b/>
        <w:color w:val="FFFFFF"/>
        <w:sz w:val="22"/>
      </w:rPr>
      <w:tblPr/>
      <w:tcPr>
        <w:shd w:val="clear" w:color="C0504D" w:fill="C0504D" w:themeFill="accent2"/>
      </w:tcPr>
    </w:tblStylePr>
    <w:tblStylePr w:type="lastCol">
      <w:pPr>
        <w:snapToGrid/>
      </w:pPr>
      <w:rPr>
        <w:rFonts w:ascii="Arial" w:hAnsi="Arial"/>
        <w:b/>
        <w:color w:val="FFFFFF"/>
        <w:sz w:val="22"/>
      </w:rPr>
      <w:tblPr/>
      <w:tcPr>
        <w:shd w:val="clear" w:color="C0504D" w:fill="C0504D" w:themeFill="accent2"/>
      </w:tcPr>
    </w:tblStylePr>
    <w:tblStylePr w:type="band1Vert">
      <w:pPr>
        <w:snapToGrid/>
      </w:pPr>
      <w:tblPr/>
      <w:tcPr>
        <w:shd w:val="clear" w:color="E2AEAD" w:fill="E2AEAD" w:themeFill="accent2" w:themeFillTint="75"/>
      </w:tcPr>
    </w:tblStylePr>
    <w:tblStylePr w:type="band2Vert">
      <w:pPr>
        <w:snapToGrid/>
      </w:pPr>
    </w:tblStylePr>
    <w:tblStylePr w:type="band1Horz">
      <w:pPr>
        <w:snapToGrid/>
      </w:pPr>
      <w:tblPr/>
      <w:tcPr>
        <w:shd w:val="clear" w:color="E2AEAD"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pPr>
        <w:snapToGrid/>
      </w:pPr>
      <w:rPr>
        <w:rFonts w:ascii="Arial" w:hAnsi="Arial"/>
        <w:b/>
        <w:color w:val="FFFFFF"/>
        <w:sz w:val="22"/>
      </w:rPr>
      <w:tblPr/>
      <w:tcPr>
        <w:shd w:val="clear" w:color="9BBB59"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9BBB59" w:fill="9BBB59" w:themeFill="accent3"/>
      </w:tcPr>
    </w:tblStylePr>
    <w:tblStylePr w:type="firstCol">
      <w:pPr>
        <w:snapToGrid/>
      </w:pPr>
      <w:rPr>
        <w:rFonts w:ascii="Arial" w:hAnsi="Arial"/>
        <w:b/>
        <w:color w:val="FFFFFF"/>
        <w:sz w:val="22"/>
      </w:rPr>
      <w:tblPr/>
      <w:tcPr>
        <w:shd w:val="clear" w:color="9BBB59" w:fill="9BBB59" w:themeFill="accent3"/>
      </w:tcPr>
    </w:tblStylePr>
    <w:tblStylePr w:type="lastCol">
      <w:pPr>
        <w:snapToGrid/>
      </w:pPr>
      <w:rPr>
        <w:rFonts w:ascii="Arial" w:hAnsi="Arial"/>
        <w:b/>
        <w:color w:val="FFFFFF"/>
        <w:sz w:val="22"/>
      </w:rPr>
      <w:tblPr/>
      <w:tcPr>
        <w:shd w:val="clear" w:color="9BBB59" w:fill="9BBB59" w:themeFill="accent3"/>
      </w:tcPr>
    </w:tblStylePr>
    <w:tblStylePr w:type="band1Vert">
      <w:pPr>
        <w:snapToGrid/>
      </w:pPr>
      <w:tblPr/>
      <w:tcPr>
        <w:shd w:val="clear" w:color="D0DFB2" w:fill="D0DFB2" w:themeFill="accent3" w:themeFillTint="75"/>
      </w:tcPr>
    </w:tblStylePr>
    <w:tblStylePr w:type="band2Vert">
      <w:pPr>
        <w:snapToGrid/>
      </w:pPr>
    </w:tblStylePr>
    <w:tblStylePr w:type="band1Horz">
      <w:pPr>
        <w:snapToGrid/>
      </w:pPr>
      <w:tblPr/>
      <w:tcPr>
        <w:shd w:val="clear" w:color="D0DFB2"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pPr>
        <w:snapToGrid/>
      </w:pPr>
      <w:rPr>
        <w:rFonts w:ascii="Arial" w:hAnsi="Arial"/>
        <w:b/>
        <w:color w:val="FFFFFF"/>
        <w:sz w:val="22"/>
      </w:rPr>
      <w:tblPr/>
      <w:tcPr>
        <w:shd w:val="clear" w:color="8064A2"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8064A2" w:fill="8064A2" w:themeFill="accent4"/>
      </w:tcPr>
    </w:tblStylePr>
    <w:tblStylePr w:type="firstCol">
      <w:pPr>
        <w:snapToGrid/>
      </w:pPr>
      <w:rPr>
        <w:rFonts w:ascii="Arial" w:hAnsi="Arial"/>
        <w:b/>
        <w:color w:val="FFFFFF"/>
        <w:sz w:val="22"/>
      </w:rPr>
      <w:tblPr/>
      <w:tcPr>
        <w:shd w:val="clear" w:color="8064A2" w:fill="8064A2" w:themeFill="accent4"/>
      </w:tcPr>
    </w:tblStylePr>
    <w:tblStylePr w:type="lastCol">
      <w:pPr>
        <w:snapToGrid/>
      </w:pPr>
      <w:rPr>
        <w:rFonts w:ascii="Arial" w:hAnsi="Arial"/>
        <w:b/>
        <w:color w:val="FFFFFF"/>
        <w:sz w:val="22"/>
      </w:rPr>
      <w:tblPr/>
      <w:tcPr>
        <w:shd w:val="clear" w:color="8064A2" w:fill="8064A2" w:themeFill="accent4"/>
      </w:tcPr>
    </w:tblStylePr>
    <w:tblStylePr w:type="band1Vert">
      <w:pPr>
        <w:snapToGrid/>
      </w:pPr>
      <w:tblPr/>
      <w:tcPr>
        <w:shd w:val="clear" w:color="C4B7D4" w:fill="C4B7D4" w:themeFill="accent4" w:themeFillTint="75"/>
      </w:tcPr>
    </w:tblStylePr>
    <w:tblStylePr w:type="band2Vert">
      <w:pPr>
        <w:snapToGrid/>
      </w:pPr>
    </w:tblStylePr>
    <w:tblStylePr w:type="band1Horz">
      <w:pPr>
        <w:snapToGrid/>
      </w:pPr>
      <w:tblPr/>
      <w:tcPr>
        <w:shd w:val="clear" w:color="C4B7D4"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pPr>
        <w:snapToGrid/>
      </w:pPr>
      <w:rPr>
        <w:rFonts w:ascii="Arial" w:hAnsi="Arial"/>
        <w:b/>
        <w:color w:val="FFFFFF"/>
        <w:sz w:val="22"/>
      </w:rPr>
      <w:tblPr/>
      <w:tcPr>
        <w:shd w:val="clear" w:color="4BACC6"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4BACC6" w:fill="4BACC6" w:themeFill="accent5"/>
      </w:tcPr>
    </w:tblStylePr>
    <w:tblStylePr w:type="firstCol">
      <w:pPr>
        <w:snapToGrid/>
      </w:pPr>
      <w:rPr>
        <w:rFonts w:ascii="Arial" w:hAnsi="Arial"/>
        <w:b/>
        <w:color w:val="FFFFFF"/>
        <w:sz w:val="22"/>
      </w:rPr>
      <w:tblPr/>
      <w:tcPr>
        <w:shd w:val="clear" w:color="4BACC6" w:fill="4BACC6" w:themeFill="accent5"/>
      </w:tcPr>
    </w:tblStylePr>
    <w:tblStylePr w:type="lastCol">
      <w:pPr>
        <w:snapToGrid/>
      </w:pPr>
      <w:rPr>
        <w:rFonts w:ascii="Arial" w:hAnsi="Arial"/>
        <w:b/>
        <w:color w:val="FFFFFF"/>
        <w:sz w:val="22"/>
      </w:rPr>
      <w:tblPr/>
      <w:tcPr>
        <w:shd w:val="clear" w:color="4BACC6" w:fill="4BACC6" w:themeFill="accent5"/>
      </w:tcPr>
    </w:tblStylePr>
    <w:tblStylePr w:type="band1Vert">
      <w:pPr>
        <w:snapToGrid/>
      </w:pPr>
      <w:tblPr/>
      <w:tcPr>
        <w:shd w:val="clear" w:color="ACD8E4" w:fill="ACD8E4" w:themeFill="accent5" w:themeFillTint="75"/>
      </w:tcPr>
    </w:tblStylePr>
    <w:tblStylePr w:type="band2Vert">
      <w:pPr>
        <w:snapToGrid/>
      </w:pPr>
    </w:tblStylePr>
    <w:tblStylePr w:type="band1Horz">
      <w:pPr>
        <w:snapToGrid/>
      </w:pPr>
      <w:tblPr/>
      <w:tcPr>
        <w:shd w:val="clear" w:color="ACD8E4"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rsid w:val="004F5B3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pPr>
        <w:snapToGrid/>
      </w:pPr>
      <w:rPr>
        <w:rFonts w:ascii="Arial" w:hAnsi="Arial"/>
        <w:b/>
        <w:color w:val="FFFFFF"/>
        <w:sz w:val="22"/>
      </w:rPr>
      <w:tblPr/>
      <w:tcPr>
        <w:shd w:val="clear" w:color="F79646"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F79646" w:fill="F79646" w:themeFill="accent6"/>
      </w:tcPr>
    </w:tblStylePr>
    <w:tblStylePr w:type="firstCol">
      <w:pPr>
        <w:snapToGrid/>
      </w:pPr>
      <w:rPr>
        <w:rFonts w:ascii="Arial" w:hAnsi="Arial"/>
        <w:b/>
        <w:color w:val="FFFFFF"/>
        <w:sz w:val="22"/>
      </w:rPr>
      <w:tblPr/>
      <w:tcPr>
        <w:shd w:val="clear" w:color="F79646" w:fill="F79646" w:themeFill="accent6"/>
      </w:tcPr>
    </w:tblStylePr>
    <w:tblStylePr w:type="lastCol">
      <w:pPr>
        <w:snapToGrid/>
      </w:pPr>
      <w:rPr>
        <w:rFonts w:ascii="Arial" w:hAnsi="Arial"/>
        <w:b/>
        <w:color w:val="FFFFFF"/>
        <w:sz w:val="22"/>
      </w:rPr>
      <w:tblPr/>
      <w:tcPr>
        <w:shd w:val="clear" w:color="F79646" w:fill="F79646" w:themeFill="accent6"/>
      </w:tcPr>
    </w:tblStylePr>
    <w:tblStylePr w:type="band1Vert">
      <w:pPr>
        <w:snapToGrid/>
      </w:pPr>
      <w:tblPr/>
      <w:tcPr>
        <w:shd w:val="clear" w:color="FBCEAA" w:fill="FBCEAA" w:themeFill="accent6" w:themeFillTint="75"/>
      </w:tcPr>
    </w:tblStylePr>
    <w:tblStylePr w:type="band2Vert">
      <w:pPr>
        <w:snapToGrid/>
      </w:pPr>
    </w:tblStylePr>
    <w:tblStylePr w:type="band1Horz">
      <w:pPr>
        <w:snapToGrid/>
      </w:pPr>
      <w:tblPr/>
      <w:tcPr>
        <w:shd w:val="clear" w:color="FBCEAA"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3">
    <w:name w:val="网格表 6 彩色1"/>
    <w:basedOn w:val="a1"/>
    <w:uiPriority w:val="99"/>
    <w:rsid w:val="004F5B3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CBCBCB"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CBCBCB"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rsid w:val="004F5B3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DAE5F1"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rsid w:val="004F5B3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2DCDC"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rsid w:val="004F5B3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EAF1DC"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rsid w:val="004F5B3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E5DFEC"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rsid w:val="004F5B3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DAEEF3"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rsid w:val="004F5B3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FDE9D8"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3">
    <w:name w:val="网格表 7 彩色1"/>
    <w:basedOn w:val="a1"/>
    <w:uiPriority w:val="99"/>
    <w:rsid w:val="004F5B3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F2F2F2" w:fill="FFFFFF" w:themeFill="text1" w:themeFillTint="00"/>
      </w:tcPr>
    </w:tblStylePr>
    <w:tblStylePr w:type="band2Vert">
      <w:pPr>
        <w:snapToGrid/>
      </w:pPr>
    </w:tblStylePr>
    <w:tblStylePr w:type="band1Horz">
      <w:pPr>
        <w:snapToGrid/>
      </w:pPr>
      <w:rPr>
        <w:rFonts w:ascii="Arial" w:hAnsi="Arial"/>
        <w:color w:val="7F7F7F" w:themeColor="text1" w:themeTint="80" w:themeShade="95"/>
        <w:sz w:val="22"/>
      </w:rPr>
      <w:tblPr/>
      <w:tcPr>
        <w:shd w:val="clear" w:color="F2F2F2" w:fill="FFFFFF" w:themeFill="text1" w:themeFillTint="0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rsid w:val="004F5B3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pPr>
        <w:snapToGrid/>
      </w:pPr>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pPr>
        <w:snapToGrid/>
      </w:pPr>
      <w:tblPr/>
      <w:tcPr>
        <w:shd w:val="clear" w:color="DAE5F1"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DAE5F1"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rsid w:val="004F5B3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pPr>
        <w:snapToGrid/>
      </w:pPr>
      <w:tblPr/>
      <w:tcPr>
        <w:shd w:val="clear" w:color="F2DCDC"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F2DCDC"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rsid w:val="004F5B3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pPr>
        <w:snapToGrid/>
      </w:pPr>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pPr>
        <w:snapToGrid/>
      </w:pPr>
      <w:tblPr/>
      <w:tcPr>
        <w:shd w:val="clear" w:color="EAF1DC"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EAF1DC"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rsid w:val="004F5B3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pPr>
        <w:snapToGrid/>
      </w:pPr>
      <w:tblPr/>
      <w:tcPr>
        <w:shd w:val="clear" w:color="E5DFEC"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E5DFEC"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4F5B3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pPr>
        <w:snapToGrid/>
      </w:pPr>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pPr>
        <w:snapToGrid/>
      </w:pPr>
      <w:tblPr/>
      <w:tcPr>
        <w:shd w:val="clear" w:color="DAEEF3"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DAEEF3"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4F5B3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pPr>
        <w:snapToGrid/>
      </w:pPr>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pPr>
        <w:snapToGrid/>
      </w:pPr>
      <w:tblPr/>
      <w:tcPr>
        <w:shd w:val="clear" w:color="FDE9D8"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FDE9D8"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6">
    <w:name w:val="清单表 1 浅色1"/>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pPr>
        <w:snapToGrid/>
      </w:pPr>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pPr>
        <w:snapToGrid/>
      </w:pPr>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pPr>
        <w:snapToGrid/>
      </w:pPr>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pPr>
        <w:snapToGrid/>
      </w:pPr>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rsid w:val="004F5B35"/>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5">
    <w:name w:val="清单表 21"/>
    <w:basedOn w:val="a1"/>
    <w:uiPriority w:val="99"/>
    <w:rsid w:val="004F5B3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rsid w:val="004F5B3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4F5B3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rsid w:val="004F5B3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rsid w:val="004F5B3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rsid w:val="004F5B3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rsid w:val="004F5B3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6">
    <w:name w:val="清单表 31"/>
    <w:basedOn w:val="a1"/>
    <w:uiPriority w:val="99"/>
    <w:rsid w:val="004F5B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rsid w:val="004F5B3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rsid w:val="004F5B3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D99695"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rsid w:val="004F5B3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C3D69B"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rsid w:val="004F5B3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B2A1C6"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4F5B3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92CCDC"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rsid w:val="004F5B3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FAC090"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6">
    <w:name w:val="清单表 41"/>
    <w:basedOn w:val="a1"/>
    <w:uiPriority w:val="99"/>
    <w:rsid w:val="004F5B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000000"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FBFB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BFBFB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rsid w:val="004F5B3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4F81BD"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2DFEE"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D2DFEE"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rsid w:val="004F5B3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C0504D"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FD2D2"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EFD2D2"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rsid w:val="004F5B3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9BBB59"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EED5"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E5EED5"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rsid w:val="004F5B3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8064A2"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FD8E7"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DFD8E7"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rsid w:val="004F5B3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4BACC6"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1EAF0"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D1EAF0"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rsid w:val="004F5B3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F79646"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4D0"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DE4D0"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6">
    <w:name w:val="清单表 5 深色1"/>
    <w:basedOn w:val="a1"/>
    <w:uiPriority w:val="99"/>
    <w:rsid w:val="004F5B3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7F7F7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7F7F7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rsid w:val="004F5B3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4F81BD"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4F81BD" w:fill="4F81BD" w:themeFill="accent1"/>
      </w:tcPr>
    </w:tblStylePr>
    <w:tblStylePr w:type="band2Horz">
      <w:pPr>
        <w:snapToGrid/>
      </w:pPr>
      <w:tblPr/>
      <w:tcPr>
        <w:tcBorders>
          <w:top w:val="single" w:sz="4" w:space="0" w:color="FFFFFF" w:themeColor="light1"/>
          <w:bottom w:val="single" w:sz="4" w:space="0" w:color="FFFFFF" w:themeColor="light1"/>
        </w:tcBorders>
        <w:shd w:val="clear" w:color="4F81BD"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4F5B3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D99695"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rsid w:val="004F5B3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C3D69B"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rsid w:val="004F5B3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B2A1C6"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rsid w:val="004F5B3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92CCDC"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rsid w:val="004F5B3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AC090"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4">
    <w:name w:val="清单表 6 彩色1"/>
    <w:basedOn w:val="a1"/>
    <w:uiPriority w:val="99"/>
    <w:rsid w:val="004F5B35"/>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BFBFB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rsid w:val="004F5B35"/>
    <w:tblPr>
      <w:tblStyleRowBandSize w:val="1"/>
      <w:tblStyleColBandSize w:val="1"/>
      <w:tblBorders>
        <w:top w:val="single" w:sz="4" w:space="0" w:color="4F81BD" w:themeColor="accent1"/>
        <w:bottom w:val="single" w:sz="4" w:space="0" w:color="4F81BD" w:themeColor="accent1"/>
      </w:tblBorders>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D2DFEE"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rsid w:val="004F5B35"/>
    <w:tblPr>
      <w:tblStyleRowBandSize w:val="1"/>
      <w:tblStyleColBandSize w:val="1"/>
      <w:tblBorders>
        <w:top w:val="single" w:sz="4" w:space="0" w:color="D99695" w:themeColor="accent2" w:themeTint="97"/>
        <w:bottom w:val="single" w:sz="4" w:space="0" w:color="D99695" w:themeColor="accent2" w:themeTint="97"/>
      </w:tblBorders>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EFD2D2"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rsid w:val="004F5B35"/>
    <w:tblPr>
      <w:tblStyleRowBandSize w:val="1"/>
      <w:tblStyleColBandSize w:val="1"/>
      <w:tblBorders>
        <w:top w:val="single" w:sz="4" w:space="0" w:color="C3D69B" w:themeColor="accent3" w:themeTint="98"/>
        <w:bottom w:val="single" w:sz="4" w:space="0" w:color="C3D69B" w:themeColor="accent3" w:themeTint="98"/>
      </w:tblBorders>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E5EED5"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rsid w:val="004F5B35"/>
    <w:tblPr>
      <w:tblStyleRowBandSize w:val="1"/>
      <w:tblStyleColBandSize w:val="1"/>
      <w:tblBorders>
        <w:top w:val="single" w:sz="4" w:space="0" w:color="B2A1C6" w:themeColor="accent4" w:themeTint="9A"/>
        <w:bottom w:val="single" w:sz="4" w:space="0" w:color="B2A1C6" w:themeColor="accent4" w:themeTint="9A"/>
      </w:tblBorders>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DFD8E7"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rsid w:val="004F5B35"/>
    <w:tblPr>
      <w:tblStyleRowBandSize w:val="1"/>
      <w:tblStyleColBandSize w:val="1"/>
      <w:tblBorders>
        <w:top w:val="single" w:sz="4" w:space="0" w:color="92CCDC" w:themeColor="accent5" w:themeTint="9A"/>
        <w:bottom w:val="single" w:sz="4" w:space="0" w:color="92CCDC" w:themeColor="accent5" w:themeTint="9A"/>
      </w:tblBorders>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D1EAF0"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rsid w:val="004F5B35"/>
    <w:tblPr>
      <w:tblStyleRowBandSize w:val="1"/>
      <w:tblStyleColBandSize w:val="1"/>
      <w:tblBorders>
        <w:top w:val="single" w:sz="4" w:space="0" w:color="FAC090" w:themeColor="accent6" w:themeTint="98"/>
        <w:bottom w:val="single" w:sz="4" w:space="0" w:color="FAC090" w:themeColor="accent6" w:themeTint="98"/>
      </w:tblBorders>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DE4D0"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4">
    <w:name w:val="清单表 7 彩色1"/>
    <w:basedOn w:val="a1"/>
    <w:uiPriority w:val="99"/>
    <w:rsid w:val="004F5B35"/>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pPr>
        <w:snapToGrid/>
      </w:pPr>
      <w:tblPr/>
      <w:tcPr>
        <w:shd w:val="clear" w:color="BFBFBF"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BFBFBF"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rsid w:val="004F5B35"/>
    <w:tblPr>
      <w:tblStyleRowBandSize w:val="1"/>
      <w:tblStyleColBandSize w:val="1"/>
      <w:tblBorders>
        <w:right w:val="single" w:sz="4" w:space="0" w:color="4F81BD" w:themeColor="accent1"/>
      </w:tblBorders>
    </w:tblPr>
    <w:tblStylePr w:type="firstRow">
      <w:pPr>
        <w:snapToGrid/>
      </w:pPr>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pPr>
        <w:snapToGrid/>
      </w:pPr>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pPr>
        <w:snapToGrid/>
      </w:pPr>
      <w:tblPr/>
      <w:tcPr>
        <w:shd w:val="clear" w:color="D2DFEE"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D2DFEE"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rsid w:val="004F5B35"/>
    <w:tblPr>
      <w:tblStyleRowBandSize w:val="1"/>
      <w:tblStyleColBandSize w:val="1"/>
      <w:tblBorders>
        <w:right w:val="single" w:sz="4" w:space="0" w:color="D99695" w:themeColor="accent2" w:themeTint="97"/>
      </w:tblBorders>
    </w:tblPr>
    <w:tblStylePr w:type="firstRow">
      <w:pPr>
        <w:snapToGrid/>
      </w:pPr>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pPr>
        <w:snapToGrid/>
      </w:pPr>
      <w:tblPr/>
      <w:tcPr>
        <w:shd w:val="clear" w:color="EFD2D2"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EFD2D2"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rsid w:val="004F5B35"/>
    <w:tblPr>
      <w:tblStyleRowBandSize w:val="1"/>
      <w:tblStyleColBandSize w:val="1"/>
      <w:tblBorders>
        <w:right w:val="single" w:sz="4" w:space="0" w:color="C3D69B" w:themeColor="accent3" w:themeTint="98"/>
      </w:tblBorders>
    </w:tblPr>
    <w:tblStylePr w:type="firstRow">
      <w:pPr>
        <w:snapToGrid/>
      </w:pPr>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pPr>
        <w:snapToGrid/>
      </w:pPr>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pPr>
        <w:snapToGrid/>
      </w:pPr>
      <w:tblPr/>
      <w:tcPr>
        <w:shd w:val="clear" w:color="E5EED5"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E5EED5"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rsid w:val="004F5B35"/>
    <w:tblPr>
      <w:tblStyleRowBandSize w:val="1"/>
      <w:tblStyleColBandSize w:val="1"/>
      <w:tblBorders>
        <w:right w:val="single" w:sz="4" w:space="0" w:color="B2A1C6" w:themeColor="accent4" w:themeTint="9A"/>
      </w:tblBorders>
    </w:tblPr>
    <w:tblStylePr w:type="firstRow">
      <w:pPr>
        <w:snapToGrid/>
      </w:pPr>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pPr>
        <w:snapToGrid/>
      </w:pPr>
      <w:tblPr/>
      <w:tcPr>
        <w:shd w:val="clear" w:color="DFD8E7"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DFD8E7"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rsid w:val="004F5B35"/>
    <w:tblPr>
      <w:tblStyleRowBandSize w:val="1"/>
      <w:tblStyleColBandSize w:val="1"/>
      <w:tblBorders>
        <w:right w:val="single" w:sz="4" w:space="0" w:color="92CCDC" w:themeColor="accent5" w:themeTint="9A"/>
      </w:tblBorders>
    </w:tblPr>
    <w:tblStylePr w:type="firstRow">
      <w:pPr>
        <w:snapToGrid/>
      </w:pPr>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pPr>
        <w:snapToGrid/>
      </w:pPr>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pPr>
        <w:snapToGrid/>
      </w:pPr>
      <w:tblPr/>
      <w:tcPr>
        <w:shd w:val="clear" w:color="D1EAF0"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D1EAF0"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rsid w:val="004F5B35"/>
    <w:tblPr>
      <w:tblStyleRowBandSize w:val="1"/>
      <w:tblStyleColBandSize w:val="1"/>
      <w:tblBorders>
        <w:right w:val="single" w:sz="4" w:space="0" w:color="FAC090" w:themeColor="accent6" w:themeTint="98"/>
      </w:tblBorders>
    </w:tblPr>
    <w:tblStylePr w:type="firstRow">
      <w:pPr>
        <w:snapToGrid/>
      </w:pPr>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snapToGrid/>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pPr>
        <w:snapToGrid/>
      </w:pPr>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pPr>
        <w:snapToGrid/>
      </w:pPr>
      <w:tblPr/>
      <w:tcPr>
        <w:shd w:val="clear" w:color="FDE4D0"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FDE4D0"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FFFFF" w:themeFill="text1" w:themeFillTint="0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FFFFF" w:themeFill="text1" w:themeFillTint="0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sid w:val="004F5B35"/>
    <w:rPr>
      <w:color w:val="404040"/>
      <w:sz w:val="20"/>
      <w:szCs w:val="20"/>
    </w:rPr>
    <w:tblPr>
      <w:tblStyleRowBandSize w:val="1"/>
      <w:tblStyleColBandSize w:val="1"/>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sid w:val="004F5B35"/>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7F7F7F" w:fill="7F7F7F" w:themeFill="text1" w:themeFillTint="80"/>
      </w:tcPr>
    </w:tblStylePr>
    <w:tblStylePr w:type="lastRow">
      <w:pPr>
        <w:snapToGrid/>
      </w:pPr>
      <w:rPr>
        <w:rFonts w:ascii="Arial" w:hAnsi="Arial"/>
        <w:color w:val="F2F2F2"/>
        <w:sz w:val="22"/>
      </w:rPr>
      <w:tblPr/>
      <w:tcPr>
        <w:shd w:val="clear" w:color="7F7F7F" w:fill="7F7F7F" w:themeFill="text1" w:themeFillTint="80"/>
      </w:tcPr>
    </w:tblStylePr>
    <w:tblStylePr w:type="firstCol">
      <w:pPr>
        <w:snapToGrid/>
      </w:pPr>
      <w:rPr>
        <w:rFonts w:ascii="Arial" w:hAnsi="Arial"/>
        <w:color w:val="F2F2F2"/>
        <w:sz w:val="22"/>
      </w:rPr>
      <w:tblPr/>
      <w:tcPr>
        <w:shd w:val="clear" w:color="7F7F7F" w:fill="7F7F7F" w:themeFill="text1" w:themeFillTint="80"/>
      </w:tcPr>
    </w:tblStylePr>
    <w:tblStylePr w:type="lastCol">
      <w:pPr>
        <w:snapToGrid/>
      </w:pPr>
      <w:rPr>
        <w:rFonts w:ascii="Arial" w:hAnsi="Arial"/>
        <w:color w:val="F2F2F2"/>
        <w:sz w:val="22"/>
      </w:rPr>
      <w:tblPr/>
      <w:tcPr>
        <w:shd w:val="clear" w:color="7F7F7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FFFFF" w:themeFill="text1" w:themeFillTint="0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FFFFF" w:themeFill="text1" w:themeFillTint="0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sid w:val="004F5B35"/>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5D8AC2" w:fill="5D8AC2" w:themeFill="accent1" w:themeFillTint="EA"/>
      </w:tcPr>
    </w:tblStylePr>
    <w:tblStylePr w:type="lastRow">
      <w:pPr>
        <w:snapToGrid/>
      </w:pPr>
      <w:rPr>
        <w:rFonts w:ascii="Arial" w:hAnsi="Arial"/>
        <w:color w:val="F2F2F2"/>
        <w:sz w:val="22"/>
      </w:rPr>
      <w:tblPr/>
      <w:tcPr>
        <w:shd w:val="clear" w:color="5D8AC2" w:fill="5D8AC2" w:themeFill="accent1" w:themeFillTint="EA"/>
      </w:tcPr>
    </w:tblStylePr>
    <w:tblStylePr w:type="firstCol">
      <w:pPr>
        <w:snapToGrid/>
      </w:pPr>
      <w:rPr>
        <w:rFonts w:ascii="Arial" w:hAnsi="Arial"/>
        <w:color w:val="F2F2F2"/>
        <w:sz w:val="22"/>
      </w:rPr>
      <w:tblPr/>
      <w:tcPr>
        <w:shd w:val="clear" w:color="5D8AC2" w:fill="5D8AC2" w:themeFill="accent1" w:themeFillTint="EA"/>
      </w:tcPr>
    </w:tblStylePr>
    <w:tblStylePr w:type="lastCol">
      <w:pPr>
        <w:snapToGrid/>
      </w:pPr>
      <w:rPr>
        <w:rFonts w:ascii="Arial" w:hAnsi="Arial"/>
        <w:color w:val="F2F2F2"/>
        <w:sz w:val="22"/>
      </w:rPr>
      <w:tblPr/>
      <w:tcPr>
        <w:shd w:val="clear" w:color="5D8AC2"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sid w:val="004F5B35"/>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D99695" w:fill="D99695" w:themeFill="accent2" w:themeFillTint="97"/>
      </w:tcPr>
    </w:tblStylePr>
    <w:tblStylePr w:type="lastRow">
      <w:pPr>
        <w:snapToGrid/>
      </w:pPr>
      <w:rPr>
        <w:rFonts w:ascii="Arial" w:hAnsi="Arial"/>
        <w:color w:val="F2F2F2"/>
        <w:sz w:val="22"/>
      </w:rPr>
      <w:tblPr/>
      <w:tcPr>
        <w:shd w:val="clear" w:color="D99695" w:fill="D99695" w:themeFill="accent2" w:themeFillTint="97"/>
      </w:tcPr>
    </w:tblStylePr>
    <w:tblStylePr w:type="firstCol">
      <w:pPr>
        <w:snapToGrid/>
      </w:pPr>
      <w:rPr>
        <w:rFonts w:ascii="Arial" w:hAnsi="Arial"/>
        <w:color w:val="F2F2F2"/>
        <w:sz w:val="22"/>
      </w:rPr>
      <w:tblPr/>
      <w:tcPr>
        <w:shd w:val="clear" w:color="D99695" w:fill="D99695" w:themeFill="accent2" w:themeFillTint="97"/>
      </w:tcPr>
    </w:tblStylePr>
    <w:tblStylePr w:type="lastCol">
      <w:pPr>
        <w:snapToGrid/>
      </w:pPr>
      <w:rPr>
        <w:rFonts w:ascii="Arial" w:hAnsi="Arial"/>
        <w:color w:val="F2F2F2"/>
        <w:sz w:val="22"/>
      </w:rPr>
      <w:tblPr/>
      <w:tcPr>
        <w:shd w:val="clear" w:color="D99695"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sid w:val="004F5B35"/>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9ABB59" w:fill="9ABB59" w:themeFill="accent3" w:themeFillTint="FE"/>
      </w:tcPr>
    </w:tblStylePr>
    <w:tblStylePr w:type="lastRow">
      <w:pPr>
        <w:snapToGrid/>
      </w:pPr>
      <w:rPr>
        <w:rFonts w:ascii="Arial" w:hAnsi="Arial"/>
        <w:color w:val="F2F2F2"/>
        <w:sz w:val="22"/>
      </w:rPr>
      <w:tblPr/>
      <w:tcPr>
        <w:shd w:val="clear" w:color="9ABB59" w:fill="9ABB59" w:themeFill="accent3" w:themeFillTint="FE"/>
      </w:tcPr>
    </w:tblStylePr>
    <w:tblStylePr w:type="firstCol">
      <w:pPr>
        <w:snapToGrid/>
      </w:pPr>
      <w:rPr>
        <w:rFonts w:ascii="Arial" w:hAnsi="Arial"/>
        <w:color w:val="F2F2F2"/>
        <w:sz w:val="22"/>
      </w:rPr>
      <w:tblPr/>
      <w:tcPr>
        <w:shd w:val="clear" w:color="9ABB59" w:fill="9ABB59" w:themeFill="accent3" w:themeFillTint="FE"/>
      </w:tcPr>
    </w:tblStylePr>
    <w:tblStylePr w:type="lastCol">
      <w:pPr>
        <w:snapToGrid/>
      </w:pPr>
      <w:rPr>
        <w:rFonts w:ascii="Arial" w:hAnsi="Arial"/>
        <w:color w:val="F2F2F2"/>
        <w:sz w:val="22"/>
      </w:rPr>
      <w:tblPr/>
      <w:tcPr>
        <w:shd w:val="clear" w:color="9ABB59"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sid w:val="004F5B35"/>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B2A1C6" w:fill="B2A1C6" w:themeFill="accent4" w:themeFillTint="9A"/>
      </w:tcPr>
    </w:tblStylePr>
    <w:tblStylePr w:type="lastRow">
      <w:pPr>
        <w:snapToGrid/>
      </w:pPr>
      <w:rPr>
        <w:rFonts w:ascii="Arial" w:hAnsi="Arial"/>
        <w:color w:val="F2F2F2"/>
        <w:sz w:val="22"/>
      </w:rPr>
      <w:tblPr/>
      <w:tcPr>
        <w:shd w:val="clear" w:color="B2A1C6" w:fill="B2A1C6" w:themeFill="accent4" w:themeFillTint="9A"/>
      </w:tcPr>
    </w:tblStylePr>
    <w:tblStylePr w:type="firstCol">
      <w:pPr>
        <w:snapToGrid/>
      </w:pPr>
      <w:rPr>
        <w:rFonts w:ascii="Arial" w:hAnsi="Arial"/>
        <w:color w:val="F2F2F2"/>
        <w:sz w:val="22"/>
      </w:rPr>
      <w:tblPr/>
      <w:tcPr>
        <w:shd w:val="clear" w:color="B2A1C6" w:fill="B2A1C6" w:themeFill="accent4" w:themeFillTint="9A"/>
      </w:tcPr>
    </w:tblStylePr>
    <w:tblStylePr w:type="lastCol">
      <w:pPr>
        <w:snapToGrid/>
      </w:pPr>
      <w:rPr>
        <w:rFonts w:ascii="Arial" w:hAnsi="Arial"/>
        <w:color w:val="F2F2F2"/>
        <w:sz w:val="22"/>
      </w:rPr>
      <w:tblPr/>
      <w:tcPr>
        <w:shd w:val="clear" w:color="B2A1C6"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sid w:val="004F5B35"/>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4BACC6" w:fill="4BACC6" w:themeFill="accent5"/>
      </w:tcPr>
    </w:tblStylePr>
    <w:tblStylePr w:type="lastRow">
      <w:pPr>
        <w:snapToGrid/>
      </w:pPr>
      <w:rPr>
        <w:rFonts w:ascii="Arial" w:hAnsi="Arial"/>
        <w:color w:val="F2F2F2"/>
        <w:sz w:val="22"/>
      </w:rPr>
      <w:tblPr/>
      <w:tcPr>
        <w:shd w:val="clear" w:color="4BACC6" w:fill="4BACC6" w:themeFill="accent5"/>
      </w:tcPr>
    </w:tblStylePr>
    <w:tblStylePr w:type="firstCol">
      <w:pPr>
        <w:snapToGrid/>
      </w:pPr>
      <w:rPr>
        <w:rFonts w:ascii="Arial" w:hAnsi="Arial"/>
        <w:color w:val="F2F2F2"/>
        <w:sz w:val="22"/>
      </w:rPr>
      <w:tblPr/>
      <w:tcPr>
        <w:shd w:val="clear" w:color="4BACC6" w:fill="4BACC6" w:themeFill="accent5"/>
      </w:tcPr>
    </w:tblStylePr>
    <w:tblStylePr w:type="lastCol">
      <w:pPr>
        <w:snapToGrid/>
      </w:pPr>
      <w:rPr>
        <w:rFonts w:ascii="Arial" w:hAnsi="Arial"/>
        <w:color w:val="F2F2F2"/>
        <w:sz w:val="22"/>
      </w:rPr>
      <w:tblPr/>
      <w:tcPr>
        <w:shd w:val="clear" w:color="4BACC6"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sid w:val="004F5B35"/>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F79646" w:fill="F79646" w:themeFill="accent6"/>
      </w:tcPr>
    </w:tblStylePr>
    <w:tblStylePr w:type="lastRow">
      <w:pPr>
        <w:snapToGrid/>
      </w:pPr>
      <w:rPr>
        <w:rFonts w:ascii="Arial" w:hAnsi="Arial"/>
        <w:color w:val="F2F2F2"/>
        <w:sz w:val="22"/>
      </w:rPr>
      <w:tblPr/>
      <w:tcPr>
        <w:shd w:val="clear" w:color="F79646" w:fill="F79646" w:themeFill="accent6"/>
      </w:tcPr>
    </w:tblStylePr>
    <w:tblStylePr w:type="firstCol">
      <w:pPr>
        <w:snapToGrid/>
      </w:pPr>
      <w:rPr>
        <w:rFonts w:ascii="Arial" w:hAnsi="Arial"/>
        <w:color w:val="F2F2F2"/>
        <w:sz w:val="22"/>
      </w:rPr>
      <w:tblPr/>
      <w:tcPr>
        <w:shd w:val="clear" w:color="F79646" w:fill="F79646" w:themeFill="accent6"/>
      </w:tcPr>
    </w:tblStylePr>
    <w:tblStylePr w:type="lastCol">
      <w:pPr>
        <w:snapToGrid/>
      </w:pPr>
      <w:rPr>
        <w:rFonts w:ascii="Arial" w:hAnsi="Arial"/>
        <w:color w:val="F2F2F2"/>
        <w:sz w:val="22"/>
      </w:rPr>
      <w:tblPr/>
      <w:tcPr>
        <w:shd w:val="clear" w:color="F79646"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rsid w:val="004F5B3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rsid w:val="004F5B3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rsid w:val="004F5B3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rsid w:val="004F5B3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rsid w:val="004F5B3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rsid w:val="004F5B3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rsid w:val="004F5B3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paragraph" w:styleId="af1">
    <w:name w:val="footnote text"/>
    <w:basedOn w:val="a"/>
    <w:link w:val="af2"/>
    <w:uiPriority w:val="99"/>
    <w:semiHidden/>
    <w:unhideWhenUsed/>
    <w:rsid w:val="004F5B35"/>
    <w:pPr>
      <w:spacing w:after="40"/>
    </w:pPr>
    <w:rPr>
      <w:sz w:val="18"/>
    </w:rPr>
  </w:style>
  <w:style w:type="character" w:customStyle="1" w:styleId="af2">
    <w:name w:val="脚注文本 字符"/>
    <w:link w:val="af1"/>
    <w:uiPriority w:val="99"/>
    <w:rsid w:val="004F5B35"/>
    <w:rPr>
      <w:sz w:val="18"/>
    </w:rPr>
  </w:style>
  <w:style w:type="character" w:styleId="af3">
    <w:name w:val="footnote reference"/>
    <w:basedOn w:val="a0"/>
    <w:uiPriority w:val="99"/>
    <w:unhideWhenUsed/>
    <w:rsid w:val="004F5B35"/>
    <w:rPr>
      <w:vertAlign w:val="superscript"/>
    </w:rPr>
  </w:style>
  <w:style w:type="paragraph" w:styleId="TOC">
    <w:name w:val="TOC Heading"/>
    <w:uiPriority w:val="39"/>
    <w:unhideWhenUsed/>
    <w:rsid w:val="004F5B35"/>
  </w:style>
  <w:style w:type="paragraph" w:customStyle="1" w:styleId="117">
    <w:name w:val="标题 11"/>
    <w:basedOn w:val="a"/>
    <w:next w:val="a"/>
    <w:link w:val="1Char"/>
    <w:uiPriority w:val="99"/>
    <w:qFormat/>
    <w:rsid w:val="004F5B35"/>
    <w:pPr>
      <w:keepNext/>
      <w:keepLines/>
      <w:spacing w:before="120" w:after="120" w:line="360" w:lineRule="auto"/>
      <w:outlineLvl w:val="0"/>
    </w:pPr>
    <w:rPr>
      <w:rFonts w:ascii="宋体"/>
      <w:b/>
      <w:color w:val="000000"/>
      <w:sz w:val="24"/>
      <w:szCs w:val="20"/>
    </w:rPr>
  </w:style>
  <w:style w:type="paragraph" w:customStyle="1" w:styleId="216">
    <w:name w:val="标题 21"/>
    <w:basedOn w:val="a"/>
    <w:next w:val="a"/>
    <w:link w:val="2Char"/>
    <w:uiPriority w:val="99"/>
    <w:qFormat/>
    <w:rsid w:val="004F5B35"/>
    <w:pPr>
      <w:keepNext/>
      <w:keepLines/>
      <w:spacing w:before="120" w:after="120" w:line="360" w:lineRule="auto"/>
      <w:outlineLvl w:val="1"/>
    </w:pPr>
    <w:rPr>
      <w:rFonts w:ascii="宋体" w:hAnsi="Arial"/>
      <w:b/>
      <w:sz w:val="20"/>
      <w:szCs w:val="20"/>
    </w:rPr>
  </w:style>
  <w:style w:type="character" w:customStyle="1" w:styleId="1Char">
    <w:name w:val="标题 1 Char"/>
    <w:link w:val="117"/>
    <w:uiPriority w:val="99"/>
    <w:rsid w:val="004F5B35"/>
    <w:rPr>
      <w:rFonts w:cs="Times New Roman"/>
      <w:b/>
      <w:bCs/>
      <w:sz w:val="44"/>
      <w:szCs w:val="44"/>
    </w:rPr>
  </w:style>
  <w:style w:type="character" w:customStyle="1" w:styleId="2Char">
    <w:name w:val="标题 2 Char"/>
    <w:link w:val="216"/>
    <w:uiPriority w:val="99"/>
    <w:semiHidden/>
    <w:rsid w:val="004F5B35"/>
    <w:rPr>
      <w:rFonts w:ascii="Cambria" w:eastAsia="宋体" w:hAnsi="Cambria" w:cs="Times New Roman"/>
      <w:b/>
      <w:bCs/>
      <w:sz w:val="32"/>
      <w:szCs w:val="32"/>
    </w:rPr>
  </w:style>
  <w:style w:type="paragraph" w:customStyle="1" w:styleId="12">
    <w:name w:val="页眉1"/>
    <w:basedOn w:val="a"/>
    <w:link w:val="Char"/>
    <w:uiPriority w:val="99"/>
    <w:rsid w:val="004F5B35"/>
    <w:pPr>
      <w:pBdr>
        <w:bottom w:val="single" w:sz="6" w:space="1" w:color="auto"/>
      </w:pBdr>
      <w:tabs>
        <w:tab w:val="center" w:pos="4153"/>
        <w:tab w:val="right" w:pos="8306"/>
      </w:tabs>
      <w:jc w:val="center"/>
    </w:pPr>
    <w:rPr>
      <w:sz w:val="18"/>
      <w:szCs w:val="18"/>
    </w:rPr>
  </w:style>
  <w:style w:type="character" w:customStyle="1" w:styleId="Char">
    <w:name w:val="页眉 Char"/>
    <w:link w:val="12"/>
    <w:uiPriority w:val="99"/>
    <w:semiHidden/>
    <w:rsid w:val="004F5B35"/>
    <w:rPr>
      <w:rFonts w:cs="Times New Roman"/>
      <w:sz w:val="18"/>
      <w:szCs w:val="18"/>
    </w:rPr>
  </w:style>
  <w:style w:type="paragraph" w:customStyle="1" w:styleId="13">
    <w:name w:val="页脚1"/>
    <w:basedOn w:val="a"/>
    <w:link w:val="Char0"/>
    <w:uiPriority w:val="99"/>
    <w:rsid w:val="004F5B35"/>
    <w:pPr>
      <w:tabs>
        <w:tab w:val="center" w:pos="4153"/>
        <w:tab w:val="right" w:pos="8306"/>
      </w:tabs>
      <w:jc w:val="left"/>
    </w:pPr>
    <w:rPr>
      <w:sz w:val="18"/>
      <w:szCs w:val="18"/>
    </w:rPr>
  </w:style>
  <w:style w:type="character" w:customStyle="1" w:styleId="Char0">
    <w:name w:val="页脚 Char"/>
    <w:link w:val="13"/>
    <w:uiPriority w:val="99"/>
    <w:semiHidden/>
    <w:rsid w:val="004F5B35"/>
    <w:rPr>
      <w:rFonts w:cs="Times New Roman"/>
      <w:sz w:val="18"/>
      <w:szCs w:val="18"/>
    </w:rPr>
  </w:style>
  <w:style w:type="character" w:styleId="af4">
    <w:name w:val="page number"/>
    <w:uiPriority w:val="99"/>
    <w:rsid w:val="004F5B35"/>
    <w:rPr>
      <w:rFonts w:cs="Times New Roman"/>
    </w:rPr>
  </w:style>
  <w:style w:type="character" w:styleId="af5">
    <w:name w:val="Hyperlink"/>
    <w:uiPriority w:val="99"/>
    <w:rsid w:val="004F5B35"/>
    <w:rPr>
      <w:rFonts w:cs="Times New Roman"/>
      <w:color w:val="0000FF"/>
      <w:u w:val="single"/>
    </w:rPr>
  </w:style>
  <w:style w:type="paragraph" w:styleId="14">
    <w:name w:val="toc 1"/>
    <w:basedOn w:val="a"/>
    <w:next w:val="a"/>
    <w:uiPriority w:val="39"/>
    <w:rsid w:val="004F5B35"/>
    <w:pPr>
      <w:tabs>
        <w:tab w:val="right" w:leader="dot" w:pos="8455"/>
      </w:tabs>
      <w:spacing w:before="120" w:line="360" w:lineRule="auto"/>
      <w:ind w:firstLine="425"/>
      <w:jc w:val="left"/>
    </w:pPr>
    <w:rPr>
      <w:b/>
      <w:caps/>
      <w:sz w:val="20"/>
      <w:szCs w:val="20"/>
    </w:rPr>
  </w:style>
  <w:style w:type="paragraph" w:styleId="af6">
    <w:name w:val="Body Text Indent"/>
    <w:basedOn w:val="a"/>
    <w:link w:val="af7"/>
    <w:uiPriority w:val="99"/>
    <w:rsid w:val="004F5B35"/>
    <w:pPr>
      <w:spacing w:line="360" w:lineRule="auto"/>
      <w:ind w:firstLine="420"/>
    </w:pPr>
    <w:rPr>
      <w:sz w:val="20"/>
      <w:szCs w:val="20"/>
    </w:rPr>
  </w:style>
  <w:style w:type="character" w:customStyle="1" w:styleId="af7">
    <w:name w:val="正文文本缩进 字符"/>
    <w:link w:val="af6"/>
    <w:uiPriority w:val="99"/>
    <w:semiHidden/>
    <w:rsid w:val="004F5B35"/>
    <w:rPr>
      <w:rFonts w:cs="Times New Roman"/>
      <w:sz w:val="24"/>
      <w:szCs w:val="24"/>
    </w:rPr>
  </w:style>
  <w:style w:type="paragraph" w:customStyle="1" w:styleId="af8">
    <w:name w:val="正文所"/>
    <w:basedOn w:val="a"/>
    <w:uiPriority w:val="99"/>
    <w:rsid w:val="004F5B35"/>
    <w:pPr>
      <w:spacing w:line="360" w:lineRule="auto"/>
      <w:ind w:firstLine="420"/>
    </w:pPr>
  </w:style>
  <w:style w:type="paragraph" w:customStyle="1" w:styleId="2025025">
    <w:name w:val="样式 首行缩进:  2 字符 段前: 0.25 行 段后: 0.25 行"/>
    <w:basedOn w:val="a"/>
    <w:uiPriority w:val="99"/>
    <w:rsid w:val="004F5B35"/>
    <w:pPr>
      <w:spacing w:line="300" w:lineRule="auto"/>
      <w:ind w:firstLine="420"/>
    </w:pPr>
    <w:rPr>
      <w:szCs w:val="21"/>
    </w:rPr>
  </w:style>
  <w:style w:type="paragraph" w:customStyle="1" w:styleId="Default">
    <w:name w:val="Default"/>
    <w:uiPriority w:val="99"/>
    <w:rsid w:val="004F5B35"/>
    <w:pPr>
      <w:widowControl w:val="0"/>
    </w:pPr>
    <w:rPr>
      <w:rFonts w:ascii="宋体" w:cs="宋体"/>
      <w:color w:val="000000"/>
      <w:sz w:val="24"/>
      <w:szCs w:val="24"/>
    </w:rPr>
  </w:style>
  <w:style w:type="paragraph" w:styleId="af9">
    <w:name w:val="Balloon Text"/>
    <w:basedOn w:val="a"/>
    <w:link w:val="afa"/>
    <w:uiPriority w:val="99"/>
    <w:semiHidden/>
    <w:rsid w:val="004F5B35"/>
    <w:rPr>
      <w:sz w:val="18"/>
      <w:szCs w:val="18"/>
    </w:rPr>
  </w:style>
  <w:style w:type="character" w:customStyle="1" w:styleId="afa">
    <w:name w:val="批注框文本 字符"/>
    <w:link w:val="af9"/>
    <w:uiPriority w:val="99"/>
    <w:semiHidden/>
    <w:rsid w:val="004F5B35"/>
    <w:rPr>
      <w:rFonts w:cs="Times New Roman"/>
      <w:sz w:val="2"/>
    </w:rPr>
  </w:style>
  <w:style w:type="paragraph" w:customStyle="1" w:styleId="ParaChar">
    <w:name w:val="默认段落字体 Para Char"/>
    <w:basedOn w:val="a"/>
    <w:uiPriority w:val="99"/>
    <w:rsid w:val="004F5B35"/>
  </w:style>
  <w:style w:type="paragraph" w:styleId="afb">
    <w:name w:val="Document Map"/>
    <w:basedOn w:val="a"/>
    <w:link w:val="afc"/>
    <w:uiPriority w:val="99"/>
    <w:semiHidden/>
    <w:rsid w:val="004F5B35"/>
    <w:pPr>
      <w:shd w:val="clear" w:color="000080" w:fill="000080"/>
    </w:pPr>
  </w:style>
  <w:style w:type="character" w:customStyle="1" w:styleId="afc">
    <w:name w:val="文档结构图 字符"/>
    <w:link w:val="afb"/>
    <w:uiPriority w:val="99"/>
    <w:semiHidden/>
    <w:rsid w:val="004F5B35"/>
    <w:rPr>
      <w:rFonts w:cs="Times New Roman"/>
      <w:sz w:val="2"/>
    </w:rPr>
  </w:style>
  <w:style w:type="character" w:styleId="afd">
    <w:name w:val="annotation reference"/>
    <w:qFormat/>
    <w:rsid w:val="004F5B35"/>
    <w:rPr>
      <w:rFonts w:cs="Times New Roman"/>
      <w:sz w:val="21"/>
    </w:rPr>
  </w:style>
  <w:style w:type="paragraph" w:styleId="afe">
    <w:name w:val="annotation text"/>
    <w:basedOn w:val="a"/>
    <w:link w:val="aff"/>
    <w:uiPriority w:val="99"/>
    <w:qFormat/>
    <w:rsid w:val="004F5B35"/>
    <w:pPr>
      <w:jc w:val="left"/>
    </w:pPr>
  </w:style>
  <w:style w:type="character" w:customStyle="1" w:styleId="aff">
    <w:name w:val="批注文字 字符"/>
    <w:link w:val="afe"/>
    <w:uiPriority w:val="99"/>
    <w:qFormat/>
    <w:rsid w:val="004F5B35"/>
    <w:rPr>
      <w:rFonts w:cs="Times New Roman"/>
      <w:sz w:val="24"/>
      <w:szCs w:val="24"/>
    </w:rPr>
  </w:style>
  <w:style w:type="paragraph" w:styleId="aff0">
    <w:name w:val="annotation subject"/>
    <w:basedOn w:val="afe"/>
    <w:next w:val="afe"/>
    <w:link w:val="aff1"/>
    <w:uiPriority w:val="99"/>
    <w:semiHidden/>
    <w:rsid w:val="004F5B35"/>
    <w:rPr>
      <w:b/>
      <w:bCs/>
    </w:rPr>
  </w:style>
  <w:style w:type="character" w:customStyle="1" w:styleId="aff1">
    <w:name w:val="批注主题 字符"/>
    <w:link w:val="aff0"/>
    <w:uiPriority w:val="99"/>
    <w:semiHidden/>
    <w:rsid w:val="004F5B35"/>
    <w:rPr>
      <w:rFonts w:cs="Times New Roman"/>
      <w:b/>
      <w:bCs/>
      <w:sz w:val="24"/>
      <w:szCs w:val="24"/>
    </w:rPr>
  </w:style>
  <w:style w:type="paragraph" w:customStyle="1" w:styleId="Char1">
    <w:name w:val="Char"/>
    <w:basedOn w:val="a"/>
    <w:uiPriority w:val="99"/>
    <w:rsid w:val="004F5B35"/>
  </w:style>
  <w:style w:type="paragraph" w:styleId="2">
    <w:name w:val="Body Text Indent 2"/>
    <w:basedOn w:val="a"/>
    <w:link w:val="20"/>
    <w:uiPriority w:val="99"/>
    <w:rsid w:val="004F5B35"/>
    <w:pPr>
      <w:tabs>
        <w:tab w:val="num" w:pos="1260"/>
      </w:tabs>
      <w:spacing w:line="360" w:lineRule="auto"/>
      <w:ind w:firstLine="480"/>
    </w:pPr>
    <w:rPr>
      <w:rFonts w:ascii="宋体" w:hAnsi="宋体"/>
      <w:sz w:val="24"/>
    </w:rPr>
  </w:style>
  <w:style w:type="character" w:customStyle="1" w:styleId="20">
    <w:name w:val="正文文本缩进 2 字符"/>
    <w:link w:val="2"/>
    <w:uiPriority w:val="99"/>
    <w:semiHidden/>
    <w:rsid w:val="004F5B35"/>
    <w:rPr>
      <w:rFonts w:cs="Times New Roman"/>
      <w:sz w:val="24"/>
      <w:szCs w:val="24"/>
    </w:rPr>
  </w:style>
  <w:style w:type="paragraph" w:styleId="aff2">
    <w:name w:val="Body Text"/>
    <w:basedOn w:val="a"/>
    <w:link w:val="aff3"/>
    <w:uiPriority w:val="99"/>
    <w:rsid w:val="004F5B35"/>
    <w:pPr>
      <w:tabs>
        <w:tab w:val="left" w:pos="3780"/>
      </w:tabs>
      <w:spacing w:line="360" w:lineRule="auto"/>
      <w:outlineLvl w:val="0"/>
    </w:pPr>
    <w:rPr>
      <w:rFonts w:ascii="宋体" w:hAnsi="宋体"/>
      <w:b/>
      <w:bCs/>
      <w:color w:val="FF0000"/>
      <w:sz w:val="24"/>
    </w:rPr>
  </w:style>
  <w:style w:type="character" w:customStyle="1" w:styleId="aff3">
    <w:name w:val="正文文本 字符"/>
    <w:link w:val="aff2"/>
    <w:uiPriority w:val="99"/>
    <w:semiHidden/>
    <w:rsid w:val="004F5B35"/>
    <w:rPr>
      <w:rFonts w:cs="Times New Roman"/>
      <w:sz w:val="24"/>
      <w:szCs w:val="24"/>
    </w:rPr>
  </w:style>
  <w:style w:type="paragraph" w:styleId="22">
    <w:name w:val="Body Text 2"/>
    <w:basedOn w:val="a"/>
    <w:link w:val="23"/>
    <w:uiPriority w:val="99"/>
    <w:rsid w:val="004F5B35"/>
    <w:pPr>
      <w:tabs>
        <w:tab w:val="left" w:pos="3780"/>
      </w:tabs>
      <w:spacing w:line="300" w:lineRule="auto"/>
      <w:outlineLvl w:val="0"/>
    </w:pPr>
    <w:rPr>
      <w:rFonts w:ascii="宋体" w:hAnsi="宋体"/>
      <w:b/>
      <w:bCs/>
      <w:sz w:val="24"/>
    </w:rPr>
  </w:style>
  <w:style w:type="character" w:customStyle="1" w:styleId="23">
    <w:name w:val="正文文本 2 字符"/>
    <w:link w:val="22"/>
    <w:uiPriority w:val="99"/>
    <w:semiHidden/>
    <w:rsid w:val="004F5B35"/>
    <w:rPr>
      <w:rFonts w:cs="Times New Roman"/>
      <w:sz w:val="24"/>
      <w:szCs w:val="24"/>
    </w:rPr>
  </w:style>
  <w:style w:type="paragraph" w:styleId="24">
    <w:name w:val="toc 2"/>
    <w:basedOn w:val="a"/>
    <w:next w:val="a"/>
    <w:uiPriority w:val="99"/>
    <w:semiHidden/>
    <w:rsid w:val="004F5B35"/>
    <w:pPr>
      <w:ind w:left="420"/>
    </w:pPr>
  </w:style>
  <w:style w:type="paragraph" w:styleId="3">
    <w:name w:val="toc 3"/>
    <w:basedOn w:val="a"/>
    <w:next w:val="a"/>
    <w:uiPriority w:val="99"/>
    <w:semiHidden/>
    <w:rsid w:val="004F5B35"/>
    <w:pPr>
      <w:ind w:left="840"/>
    </w:pPr>
  </w:style>
  <w:style w:type="paragraph" w:styleId="4">
    <w:name w:val="toc 4"/>
    <w:basedOn w:val="a"/>
    <w:next w:val="a"/>
    <w:uiPriority w:val="99"/>
    <w:semiHidden/>
    <w:rsid w:val="004F5B35"/>
    <w:pPr>
      <w:ind w:left="1260"/>
    </w:pPr>
  </w:style>
  <w:style w:type="paragraph" w:styleId="5">
    <w:name w:val="toc 5"/>
    <w:basedOn w:val="a"/>
    <w:next w:val="a"/>
    <w:uiPriority w:val="99"/>
    <w:semiHidden/>
    <w:rsid w:val="004F5B35"/>
    <w:pPr>
      <w:ind w:left="1680"/>
    </w:pPr>
  </w:style>
  <w:style w:type="paragraph" w:styleId="6">
    <w:name w:val="toc 6"/>
    <w:basedOn w:val="a"/>
    <w:next w:val="a"/>
    <w:uiPriority w:val="99"/>
    <w:semiHidden/>
    <w:rsid w:val="004F5B35"/>
    <w:pPr>
      <w:ind w:left="2100"/>
    </w:pPr>
  </w:style>
  <w:style w:type="paragraph" w:styleId="7">
    <w:name w:val="toc 7"/>
    <w:basedOn w:val="a"/>
    <w:next w:val="a"/>
    <w:uiPriority w:val="99"/>
    <w:semiHidden/>
    <w:rsid w:val="004F5B35"/>
    <w:pPr>
      <w:ind w:left="2520"/>
    </w:pPr>
  </w:style>
  <w:style w:type="paragraph" w:styleId="8">
    <w:name w:val="toc 8"/>
    <w:basedOn w:val="a"/>
    <w:next w:val="a"/>
    <w:uiPriority w:val="99"/>
    <w:semiHidden/>
    <w:rsid w:val="004F5B35"/>
    <w:pPr>
      <w:ind w:left="2940"/>
    </w:pPr>
  </w:style>
  <w:style w:type="paragraph" w:styleId="9">
    <w:name w:val="toc 9"/>
    <w:basedOn w:val="a"/>
    <w:next w:val="a"/>
    <w:uiPriority w:val="99"/>
    <w:semiHidden/>
    <w:rsid w:val="004F5B35"/>
    <w:pPr>
      <w:ind w:left="3360"/>
    </w:pPr>
  </w:style>
  <w:style w:type="paragraph" w:customStyle="1" w:styleId="UCAlpha2">
    <w:name w:val="UCAlpha 2"/>
    <w:basedOn w:val="a"/>
    <w:uiPriority w:val="99"/>
    <w:rsid w:val="004F5B35"/>
    <w:pPr>
      <w:widowControl/>
      <w:numPr>
        <w:numId w:val="16"/>
      </w:numPr>
      <w:spacing w:after="140" w:line="290" w:lineRule="auto"/>
    </w:pPr>
    <w:rPr>
      <w:rFonts w:ascii="Arial" w:hAnsi="Arial"/>
      <w:sz w:val="20"/>
      <w:lang w:val="en-GB" w:eastAsia="en-US"/>
    </w:rPr>
  </w:style>
  <w:style w:type="paragraph" w:styleId="aff4">
    <w:name w:val="Revision"/>
    <w:hidden/>
    <w:uiPriority w:val="99"/>
    <w:semiHidden/>
    <w:rsid w:val="004F5B35"/>
    <w:rPr>
      <w:sz w:val="21"/>
      <w:szCs w:val="24"/>
    </w:rPr>
  </w:style>
  <w:style w:type="paragraph" w:customStyle="1" w:styleId="CharChar">
    <w:name w:val="Char Char"/>
    <w:basedOn w:val="a"/>
    <w:rsid w:val="004F5B35"/>
    <w:rPr>
      <w:sz w:val="20"/>
      <w:szCs w:val="20"/>
    </w:rPr>
  </w:style>
  <w:style w:type="paragraph" w:styleId="aff5">
    <w:name w:val="List Paragraph"/>
    <w:basedOn w:val="a"/>
    <w:uiPriority w:val="34"/>
    <w:qFormat/>
    <w:rsid w:val="004F5B35"/>
    <w:pPr>
      <w:ind w:firstLine="420"/>
    </w:pPr>
  </w:style>
  <w:style w:type="paragraph" w:customStyle="1" w:styleId="005">
    <w:name w:val="005正文"/>
    <w:basedOn w:val="a"/>
    <w:rsid w:val="004F5B35"/>
    <w:pPr>
      <w:spacing w:line="360" w:lineRule="auto"/>
      <w:ind w:firstLine="200"/>
    </w:pPr>
    <w:rPr>
      <w:rFonts w:ascii="宋体" w:hAnsi="宋体"/>
      <w:sz w:val="24"/>
    </w:rPr>
  </w:style>
  <w:style w:type="paragraph" w:customStyle="1" w:styleId="unnamed1">
    <w:name w:val="unnamed1"/>
    <w:basedOn w:val="a"/>
    <w:qFormat/>
    <w:rsid w:val="004F5B35"/>
    <w:pPr>
      <w:spacing w:before="60" w:after="60"/>
      <w:ind w:left="15" w:right="15"/>
    </w:pPr>
    <w:rPr>
      <w:rFonts w:ascii="宋体" w:hAnsi="宋体" w:hint="eastAsia"/>
      <w:color w:val="000000"/>
      <w:sz w:val="18"/>
      <w:szCs w:val="18"/>
    </w:rPr>
  </w:style>
  <w:style w:type="paragraph" w:customStyle="1" w:styleId="25">
    <w:name w:val="页眉2"/>
    <w:basedOn w:val="a"/>
    <w:link w:val="Char10"/>
    <w:uiPriority w:val="99"/>
    <w:unhideWhenUsed/>
    <w:rsid w:val="004F5B3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25"/>
    <w:uiPriority w:val="99"/>
    <w:rsid w:val="004F5B35"/>
    <w:rPr>
      <w:sz w:val="18"/>
      <w:szCs w:val="18"/>
    </w:rPr>
  </w:style>
  <w:style w:type="paragraph" w:customStyle="1" w:styleId="26">
    <w:name w:val="页脚2"/>
    <w:basedOn w:val="a"/>
    <w:link w:val="Char11"/>
    <w:uiPriority w:val="99"/>
    <w:unhideWhenUsed/>
    <w:rsid w:val="004F5B35"/>
    <w:pPr>
      <w:tabs>
        <w:tab w:val="center" w:pos="4153"/>
        <w:tab w:val="right" w:pos="8306"/>
      </w:tabs>
      <w:snapToGrid w:val="0"/>
      <w:jc w:val="left"/>
    </w:pPr>
    <w:rPr>
      <w:sz w:val="18"/>
      <w:szCs w:val="18"/>
    </w:rPr>
  </w:style>
  <w:style w:type="character" w:customStyle="1" w:styleId="Char11">
    <w:name w:val="页脚 Char1"/>
    <w:basedOn w:val="a0"/>
    <w:link w:val="26"/>
    <w:uiPriority w:val="99"/>
    <w:rsid w:val="004F5B35"/>
    <w:rPr>
      <w:sz w:val="18"/>
      <w:szCs w:val="18"/>
    </w:rPr>
  </w:style>
  <w:style w:type="character" w:customStyle="1" w:styleId="1Char1">
    <w:name w:val="标题 1 Char1"/>
    <w:basedOn w:val="a0"/>
    <w:link w:val="113"/>
    <w:uiPriority w:val="9"/>
    <w:rsid w:val="004F5B35"/>
    <w:rPr>
      <w:b/>
      <w:bCs/>
      <w:sz w:val="44"/>
      <w:szCs w:val="44"/>
    </w:rPr>
  </w:style>
  <w:style w:type="paragraph" w:styleId="aff6">
    <w:name w:val="header"/>
    <w:basedOn w:val="a"/>
    <w:link w:val="aff7"/>
    <w:uiPriority w:val="99"/>
    <w:unhideWhenUsed/>
    <w:rsid w:val="008C77E4"/>
    <w:pPr>
      <w:pBdr>
        <w:bottom w:val="single" w:sz="6" w:space="1" w:color="auto"/>
      </w:pBdr>
      <w:tabs>
        <w:tab w:val="center" w:pos="4153"/>
        <w:tab w:val="right" w:pos="8306"/>
      </w:tabs>
      <w:snapToGrid w:val="0"/>
      <w:jc w:val="center"/>
    </w:pPr>
    <w:rPr>
      <w:sz w:val="18"/>
      <w:szCs w:val="18"/>
    </w:rPr>
  </w:style>
  <w:style w:type="character" w:customStyle="1" w:styleId="aff7">
    <w:name w:val="页眉 字符"/>
    <w:basedOn w:val="a0"/>
    <w:link w:val="aff6"/>
    <w:uiPriority w:val="99"/>
    <w:rsid w:val="008C77E4"/>
    <w:rPr>
      <w:sz w:val="18"/>
      <w:szCs w:val="18"/>
    </w:rPr>
  </w:style>
  <w:style w:type="paragraph" w:styleId="aff8">
    <w:name w:val="footer"/>
    <w:basedOn w:val="a"/>
    <w:link w:val="aff9"/>
    <w:uiPriority w:val="99"/>
    <w:unhideWhenUsed/>
    <w:rsid w:val="008C77E4"/>
    <w:pPr>
      <w:tabs>
        <w:tab w:val="center" w:pos="4153"/>
        <w:tab w:val="right" w:pos="8306"/>
      </w:tabs>
      <w:snapToGrid w:val="0"/>
      <w:jc w:val="left"/>
    </w:pPr>
    <w:rPr>
      <w:sz w:val="18"/>
      <w:szCs w:val="18"/>
    </w:rPr>
  </w:style>
  <w:style w:type="character" w:customStyle="1" w:styleId="aff9">
    <w:name w:val="页脚 字符"/>
    <w:basedOn w:val="a0"/>
    <w:link w:val="aff8"/>
    <w:uiPriority w:val="99"/>
    <w:rsid w:val="008C77E4"/>
    <w:rPr>
      <w:sz w:val="18"/>
      <w:szCs w:val="18"/>
    </w:rPr>
  </w:style>
  <w:style w:type="character" w:customStyle="1" w:styleId="10">
    <w:name w:val="标题 1 字符"/>
    <w:basedOn w:val="a0"/>
    <w:link w:val="1"/>
    <w:uiPriority w:val="9"/>
    <w:rsid w:val="00B97F8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4360</Words>
  <Characters>24858</Characters>
  <Application>Microsoft Office Word</Application>
  <DocSecurity>0</DocSecurity>
  <Lines>207</Lines>
  <Paragraphs>58</Paragraphs>
  <ScaleCrop>false</ScaleCrop>
  <Company>hsbcjt</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1.4托管协议</dc:title>
  <dc:creator>hsbcjt</dc:creator>
  <cp:lastModifiedBy>LIUXUE20210809</cp:lastModifiedBy>
  <cp:revision>34</cp:revision>
  <cp:lastPrinted>2023-03-30T05:04:00Z</cp:lastPrinted>
  <dcterms:created xsi:type="dcterms:W3CDTF">2021-01-12T06:13:00Z</dcterms:created>
  <dcterms:modified xsi:type="dcterms:W3CDTF">2023-05-04T02:25:00Z</dcterms:modified>
</cp:coreProperties>
</file>