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header4.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369"/>
        <w:jc w:val="center"/>
        <w:snapToGrid w:val="1"/>
        <w:rPr>
          <w:rFonts w:ascii="宋体" w:hAnsi="宋体"/>
          <w:b/>
          <w:sz w:val="48"/>
        </w:rPr>
      </w:pPr>
      <w:r>
        <w:rPr>
          <w:rFonts w:ascii="宋体" w:hAnsi="宋体"/>
          <w:b/>
          <w:sz w:val="48"/>
        </w:rPr>
      </w:r>
      <w:r/>
    </w:p>
    <w:p>
      <w:pPr>
        <w:pStyle w:val="369"/>
        <w:jc w:val="center"/>
        <w:snapToGrid w:val="1"/>
        <w:rPr>
          <w:rFonts w:ascii="宋体" w:hAnsi="宋体"/>
          <w:b/>
          <w:sz w:val="48"/>
        </w:rPr>
      </w:pPr>
      <w:r>
        <w:rPr>
          <w:rFonts w:ascii="宋体" w:hAnsi="宋体"/>
          <w:b/>
          <w:sz w:val="48"/>
        </w:rPr>
      </w:r>
      <w:r/>
    </w:p>
    <w:p>
      <w:pPr>
        <w:pStyle w:val="369"/>
        <w:jc w:val="center"/>
        <w:snapToGrid w:val="1"/>
        <w:rPr>
          <w:rFonts w:ascii="宋体" w:hAnsi="宋体"/>
          <w:b/>
          <w:sz w:val="48"/>
        </w:rPr>
      </w:pPr>
      <w:r>
        <w:rPr>
          <w:rFonts w:ascii="宋体" w:hAnsi="宋体"/>
          <w:b/>
          <w:sz w:val="48"/>
        </w:rPr>
      </w:r>
      <w:r/>
    </w:p>
    <w:p>
      <w:pPr>
        <w:pStyle w:val="369"/>
        <w:jc w:val="center"/>
        <w:snapToGrid w:val="1"/>
        <w:rPr>
          <w:rFonts w:ascii="宋体" w:hAnsi="宋体"/>
          <w:b/>
          <w:sz w:val="48"/>
        </w:rPr>
      </w:pPr>
      <w:r>
        <w:rPr>
          <w:rFonts w:ascii="宋体" w:hAnsi="宋体"/>
          <w:b/>
          <w:sz w:val="48"/>
        </w:rPr>
      </w:r>
      <w:r/>
    </w:p>
    <w:p>
      <w:pPr>
        <w:pStyle w:val="369"/>
        <w:jc w:val="center"/>
        <w:snapToGrid w:val="1"/>
        <w:rPr>
          <w:rFonts w:ascii="宋体" w:hAnsi="宋体"/>
          <w:b/>
          <w:sz w:val="48"/>
        </w:rPr>
      </w:pPr>
      <w:r/>
      <w:bookmarkStart w:id="0" w:name="OLE_LINK10"/>
      <w:r/>
      <w:bookmarkStart w:id="1" w:name="OLE_LINK11"/>
      <w:r>
        <w:rPr>
          <w:rFonts w:ascii="宋体" w:hAnsi="宋体"/>
          <w:b/>
          <w:sz w:val="48"/>
        </w:rPr>
        <w:t xml:space="preserve">东海证券股份有限</w:t>
      </w:r>
      <w:r>
        <w:rPr>
          <w:rFonts w:ascii="宋体" w:hAnsi="宋体"/>
          <w:b/>
          <w:sz w:val="48"/>
        </w:rPr>
        <w:t xml:space="preserve">公司</w:t>
      </w:r>
      <w:r/>
    </w:p>
    <w:p>
      <w:pPr>
        <w:pStyle w:val="369"/>
        <w:jc w:val="center"/>
        <w:snapToGrid w:val="1"/>
        <w:rPr>
          <w:rFonts w:ascii="宋体" w:hAnsi="宋体"/>
          <w:b/>
          <w:sz w:val="48"/>
        </w:rPr>
      </w:pPr>
      <w:r>
        <w:rPr>
          <w:rFonts w:ascii="宋体" w:hAnsi="宋体"/>
          <w:b/>
          <w:sz w:val="48"/>
        </w:rPr>
      </w:r>
      <w:r/>
    </w:p>
    <w:p>
      <w:pPr>
        <w:pStyle w:val="369"/>
        <w:jc w:val="center"/>
        <w:snapToGrid w:val="1"/>
        <w:rPr>
          <w:rFonts w:ascii="宋体" w:hAnsi="宋体"/>
          <w:b/>
          <w:sz w:val="48"/>
        </w:rPr>
      </w:pPr>
      <w:r/>
      <w:bookmarkStart w:id="2" w:name="_Toc123112222"/>
      <w:r/>
      <w:bookmarkStart w:id="3" w:name="_Toc123112261"/>
      <w:r/>
      <w:bookmarkStart w:id="4" w:name="_Toc123701381"/>
      <w:r/>
      <w:bookmarkStart w:id="5" w:name="_Toc139991724"/>
      <w:r/>
      <w:bookmarkStart w:id="6" w:name="_Toc139992299"/>
      <w:r>
        <w:rPr>
          <w:rFonts w:ascii="宋体" w:hAnsi="宋体"/>
          <w:b/>
          <w:sz w:val="48"/>
        </w:rPr>
        <w:t xml:space="preserve">东海证券海盈3个月持有期混合型</w:t>
      </w:r>
      <w:r>
        <w:rPr>
          <w:rFonts w:ascii="宋体" w:hAnsi="宋体"/>
          <w:b/>
          <w:sz w:val="48"/>
        </w:rPr>
      </w:r>
      <w:r/>
    </w:p>
    <w:p>
      <w:pPr>
        <w:pStyle w:val="369"/>
        <w:jc w:val="center"/>
        <w:snapToGrid w:val="1"/>
        <w:rPr>
          <w:rFonts w:ascii="宋体" w:hAnsi="宋体"/>
          <w:b/>
          <w:sz w:val="48"/>
        </w:rPr>
      </w:pPr>
      <w:r>
        <w:rPr>
          <w:rFonts w:ascii="宋体" w:hAnsi="宋体"/>
          <w:b/>
          <w:sz w:val="48"/>
        </w:rPr>
        <w:t xml:space="preserve">集合资产管理计划</w:t>
      </w:r>
      <w:r>
        <w:rPr>
          <w:rFonts w:ascii="宋体" w:hAnsi="宋体"/>
          <w:b/>
          <w:sz w:val="48"/>
        </w:rPr>
      </w:r>
      <w:r/>
    </w:p>
    <w:p>
      <w:pPr>
        <w:pStyle w:val="369"/>
        <w:jc w:val="center"/>
        <w:snapToGrid w:val="1"/>
        <w:rPr>
          <w:rFonts w:ascii="宋体" w:hAnsi="宋体"/>
          <w:b/>
          <w:sz w:val="48"/>
        </w:rPr>
      </w:pPr>
      <w:r>
        <w:rPr>
          <w:rFonts w:ascii="宋体" w:hAnsi="宋体"/>
          <w:b/>
          <w:sz w:val="48"/>
        </w:rPr>
        <w:t xml:space="preserve">资产管理</w:t>
      </w:r>
      <w:bookmarkEnd w:id="2"/>
      <w:r/>
      <w:bookmarkEnd w:id="3"/>
      <w:r/>
      <w:bookmarkEnd w:id="4"/>
      <w:r/>
      <w:bookmarkEnd w:id="5"/>
      <w:r/>
      <w:bookmarkEnd w:id="6"/>
      <w:r/>
      <w:bookmarkStart w:id="7" w:name="_Toc123112223"/>
      <w:r/>
      <w:bookmarkStart w:id="8" w:name="_Toc123112262"/>
      <w:r/>
      <w:bookmarkStart w:id="9" w:name="_Toc123701382"/>
      <w:r/>
      <w:bookmarkStart w:id="10" w:name="_Toc139991725"/>
      <w:r/>
      <w:bookmarkStart w:id="11" w:name="_Toc139992300"/>
      <w:r>
        <w:rPr>
          <w:rFonts w:ascii="宋体" w:hAnsi="宋体"/>
          <w:b/>
          <w:sz w:val="48"/>
        </w:rPr>
        <w:t xml:space="preserve">合同</w:t>
      </w:r>
      <w:bookmarkEnd w:id="7"/>
      <w:r/>
      <w:bookmarkEnd w:id="8"/>
      <w:r/>
      <w:bookmarkEnd w:id="9"/>
      <w:r/>
      <w:bookmarkEnd w:id="10"/>
      <w:r/>
      <w:bookmarkEnd w:id="11"/>
      <w:r>
        <w:rPr>
          <w:rFonts w:ascii="宋体" w:hAnsi="宋体"/>
          <w:b/>
          <w:sz w:val="48"/>
        </w:rPr>
      </w:r>
      <w:r/>
    </w:p>
    <w:p>
      <w:pPr>
        <w:pStyle w:val="369"/>
        <w:jc w:val="center"/>
        <w:snapToGrid w:val="1"/>
        <w:rPr>
          <w:rFonts w:ascii="宋体" w:hAnsi="宋体"/>
          <w:b/>
          <w:sz w:val="48"/>
        </w:rPr>
      </w:pPr>
      <w:r>
        <w:rPr>
          <w:rFonts w:ascii="宋体" w:hAnsi="宋体"/>
          <w:b/>
          <w:sz w:val="48"/>
        </w:rPr>
      </w:r>
      <w:r/>
    </w:p>
    <w:p>
      <w:pPr>
        <w:pStyle w:val="369"/>
        <w:jc w:val="center"/>
        <w:snapToGrid w:val="1"/>
        <w:rPr>
          <w:rFonts w:ascii="宋体" w:hAnsi="宋体"/>
          <w:b/>
          <w:sz w:val="48"/>
        </w:rPr>
      </w:pPr>
      <w:r>
        <w:rPr>
          <w:rFonts w:ascii="宋体" w:hAnsi="宋体"/>
          <w:b/>
          <w:sz w:val="48"/>
        </w:rPr>
      </w:r>
      <w:r/>
    </w:p>
    <w:p>
      <w:pPr>
        <w:pStyle w:val="369"/>
        <w:jc w:val="center"/>
        <w:snapToGrid w:val="1"/>
        <w:rPr>
          <w:rFonts w:ascii="宋体" w:hAnsi="宋体"/>
          <w:b/>
          <w:sz w:val="48"/>
        </w:rPr>
      </w:pPr>
      <w:r>
        <w:rPr>
          <w:rFonts w:ascii="宋体" w:hAnsi="宋体"/>
          <w:b/>
          <w:sz w:val="48"/>
        </w:rPr>
      </w:r>
      <w:r/>
    </w:p>
    <w:p>
      <w:pPr>
        <w:pStyle w:val="369"/>
        <w:jc w:val="center"/>
        <w:snapToGrid w:val="1"/>
        <w:rPr>
          <w:rFonts w:ascii="宋体" w:hAnsi="宋体"/>
          <w:b/>
          <w:sz w:val="48"/>
        </w:rPr>
      </w:pPr>
      <w:r>
        <w:rPr>
          <w:rFonts w:ascii="宋体" w:hAnsi="宋体"/>
          <w:b/>
          <w:sz w:val="48"/>
        </w:rPr>
      </w:r>
      <w:r/>
    </w:p>
    <w:p>
      <w:pPr>
        <w:pStyle w:val="369"/>
        <w:jc w:val="center"/>
        <w:snapToGrid w:val="1"/>
        <w:rPr>
          <w:rFonts w:ascii="宋体" w:hAnsi="宋体"/>
          <w:b/>
          <w:sz w:val="48"/>
        </w:rPr>
      </w:pPr>
      <w:r>
        <w:rPr>
          <w:rFonts w:ascii="宋体" w:hAnsi="宋体"/>
          <w:b/>
          <w:sz w:val="48"/>
        </w:rPr>
      </w:r>
      <w:r/>
    </w:p>
    <w:p>
      <w:pPr>
        <w:pStyle w:val="369"/>
        <w:jc w:val="center"/>
        <w:snapToGrid w:val="1"/>
        <w:rPr>
          <w:rFonts w:ascii="宋体" w:hAnsi="宋体"/>
          <w:b/>
          <w:sz w:val="36"/>
        </w:rPr>
      </w:pPr>
      <w:r/>
      <w:bookmarkStart w:id="12" w:name="_Toc139992301"/>
      <w:r/>
      <w:bookmarkStart w:id="13" w:name="_Toc139991726"/>
      <w:r/>
      <w:bookmarkStart w:id="14" w:name="_Toc123701383"/>
      <w:r/>
      <w:bookmarkStart w:id="15" w:name="_Toc123112263"/>
      <w:r/>
      <w:bookmarkStart w:id="16" w:name="_Toc123112224"/>
      <w:r>
        <w:rPr>
          <w:rFonts w:ascii="宋体" w:hAnsi="宋体"/>
          <w:b/>
          <w:sz w:val="36"/>
        </w:rPr>
        <w:t xml:space="preserve">管理人：</w:t>
      </w:r>
      <w:bookmarkEnd w:id="12"/>
      <w:r/>
      <w:bookmarkEnd w:id="13"/>
      <w:r/>
      <w:bookmarkEnd w:id="14"/>
      <w:r/>
      <w:bookmarkEnd w:id="15"/>
      <w:r/>
      <w:bookmarkEnd w:id="16"/>
      <w:r>
        <w:rPr>
          <w:rFonts w:ascii="宋体" w:hAnsi="宋体"/>
          <w:b/>
          <w:sz w:val="36"/>
        </w:rPr>
        <w:t xml:space="preserve">东海证券股份有限公司</w:t>
      </w:r>
      <w:r>
        <w:rPr>
          <w:rFonts w:ascii="宋体" w:hAnsi="宋体"/>
          <w:b/>
          <w:sz w:val="36"/>
        </w:rPr>
        <w:t xml:space="preserve">    </w:t>
      </w:r>
      <w:r/>
    </w:p>
    <w:p>
      <w:pPr>
        <w:pStyle w:val="369"/>
        <w:jc w:val="center"/>
        <w:snapToGrid w:val="1"/>
        <w:rPr>
          <w:rFonts w:ascii="宋体" w:hAnsi="宋体"/>
          <w:b/>
          <w:sz w:val="36"/>
        </w:rPr>
      </w:pPr>
      <w:r/>
      <w:bookmarkStart w:id="17" w:name="_Toc123112225"/>
      <w:r/>
      <w:bookmarkStart w:id="18" w:name="_Toc123112264"/>
      <w:r/>
      <w:bookmarkStart w:id="19" w:name="_Toc123701384"/>
      <w:r/>
      <w:bookmarkStart w:id="20" w:name="_Toc139991727"/>
      <w:r/>
      <w:bookmarkStart w:id="21" w:name="_Toc139992302"/>
      <w:r>
        <w:rPr>
          <w:rFonts w:ascii="宋体" w:hAnsi="宋体"/>
          <w:b/>
          <w:sz w:val="36"/>
        </w:rPr>
        <w:t xml:space="preserve">托管人：</w:t>
      </w:r>
      <w:r>
        <w:rPr>
          <w:rFonts w:ascii="宋体" w:hAnsi="宋体"/>
          <w:b/>
          <w:sz w:val="36"/>
        </w:rPr>
        <w:t xml:space="preserve">交通银行股份有限公司</w:t>
      </w:r>
      <w:r>
        <w:rPr>
          <w:rFonts w:ascii="宋体" w:hAnsi="宋体"/>
          <w:b/>
          <w:sz w:val="36"/>
        </w:rPr>
        <w:t xml:space="preserve">          </w:t>
      </w:r>
      <w:bookmarkEnd w:id="17"/>
      <w:r/>
      <w:bookmarkEnd w:id="18"/>
      <w:r/>
      <w:bookmarkEnd w:id="19"/>
      <w:r/>
      <w:bookmarkEnd w:id="20"/>
      <w:r/>
      <w:bookmarkEnd w:id="21"/>
      <w:r>
        <w:rPr>
          <w:rFonts w:ascii="宋体" w:hAnsi="宋体"/>
          <w:b/>
          <w:sz w:val="36"/>
        </w:rPr>
        <w:t xml:space="preserve"> </w:t>
      </w:r>
      <w:r/>
    </w:p>
    <w:p>
      <w:pPr>
        <w:pStyle w:val="369"/>
        <w:jc w:val="center"/>
        <w:snapToGrid w:val="1"/>
        <w:rPr>
          <w:rFonts w:ascii="宋体" w:hAnsi="宋体"/>
          <w:bCs/>
          <w:sz w:val="32"/>
        </w:rPr>
      </w:pPr>
      <w:r>
        <w:rPr>
          <w:rFonts w:ascii="宋体" w:hAnsi="宋体"/>
          <w:bCs/>
          <w:sz w:val="32"/>
        </w:rPr>
      </w:r>
      <w:r/>
    </w:p>
    <w:p>
      <w:pPr>
        <w:pStyle w:val="369"/>
        <w:jc w:val="center"/>
        <w:snapToGrid w:val="1"/>
        <w:rPr>
          <w:rFonts w:ascii="宋体" w:hAnsi="宋体"/>
          <w:bCs/>
          <w:sz w:val="28"/>
        </w:rPr>
      </w:pPr>
      <w:r/>
      <w:bookmarkStart w:id="22" w:name="_Toc123112227"/>
      <w:r/>
      <w:bookmarkStart w:id="23" w:name="_Toc123112266"/>
      <w:r/>
      <w:bookmarkStart w:id="24" w:name="_Toc123701386"/>
      <w:r/>
      <w:bookmarkStart w:id="25" w:name="_Toc139991729"/>
      <w:r>
        <w:rPr>
          <w:rFonts w:ascii="宋体" w:hAnsi="宋体"/>
          <w:bCs/>
          <w:sz w:val="28"/>
        </w:rPr>
      </w:r>
      <w:r/>
    </w:p>
    <w:p>
      <w:pPr>
        <w:pStyle w:val="369"/>
        <w:jc w:val="center"/>
        <w:snapToGrid w:val="1"/>
        <w:rPr>
          <w:rFonts w:ascii="宋体" w:hAnsi="宋体"/>
          <w:bCs/>
          <w:sz w:val="28"/>
        </w:rPr>
        <w:sectPr>
          <w:headerReference w:type="default" r:id="rId8"/>
          <w:headerReference w:type="first" r:id="rId9"/>
          <w:footerReference w:type="default" r:id="rId12"/>
          <w:footerReference w:type="first" r:id="rId13"/>
          <w:footnotePr/>
          <w:type w:val="nextPage"/>
          <w:pgSz w:w="11906" w:h="16838" w:orient="portrait"/>
          <w:pgMar w:top="1440" w:right="1800" w:bottom="1440" w:left="1800" w:header="851" w:footer="992"/>
          <w:pgNumType w:start="1"/>
          <w:cols w:num="1" w:sep="0" w:space="720" w:equalWidth="1"/>
          <w:docGrid w:linePitch="312" w:type="lines"/>
          <w:titlePg/>
        </w:sectPr>
      </w:pPr>
      <w:r>
        <w:rPr>
          <w:rFonts w:ascii="宋体" w:hAnsi="宋体"/>
          <w:b/>
          <w:bCs/>
          <w:sz w:val="30"/>
        </w:rPr>
        <w:t xml:space="preserve">二〇二 </w:t>
      </w:r>
      <w:r>
        <w:rPr>
          <w:rFonts w:ascii="宋体" w:hAnsi="宋体"/>
          <w:b/>
          <w:bCs/>
          <w:sz w:val="30"/>
        </w:rPr>
        <w:t xml:space="preserve"> </w:t>
      </w:r>
      <w:r>
        <w:rPr>
          <w:rFonts w:ascii="宋体" w:hAnsi="宋体"/>
          <w:b/>
          <w:bCs/>
          <w:sz w:val="30"/>
        </w:rPr>
        <w:t xml:space="preserve">年</w:t>
      </w:r>
      <w:r>
        <w:rPr>
          <w:rFonts w:ascii="宋体" w:hAnsi="宋体"/>
          <w:b/>
          <w:bCs/>
          <w:sz w:val="30"/>
        </w:rPr>
        <w:t xml:space="preserve"> </w:t>
      </w:r>
      <w:r>
        <w:rPr>
          <w:rFonts w:ascii="宋体" w:hAnsi="宋体"/>
          <w:b/>
          <w:bCs/>
          <w:sz w:val="30"/>
        </w:rPr>
        <w:t xml:space="preserve"> </w:t>
      </w:r>
      <w:r>
        <w:rPr>
          <w:rFonts w:ascii="宋体" w:hAnsi="宋体"/>
          <w:b/>
          <w:bCs/>
          <w:sz w:val="30"/>
        </w:rPr>
        <w:t xml:space="preserve">月</w:t>
      </w:r>
      <w:bookmarkEnd w:id="0"/>
      <w:r/>
      <w:bookmarkEnd w:id="1"/>
      <w:r>
        <w:rPr>
          <w:rFonts w:ascii="宋体" w:hAnsi="宋体"/>
          <w:bCs/>
          <w:sz w:val="28"/>
        </w:rPr>
      </w:r>
      <w:r/>
    </w:p>
    <w:p>
      <w:pPr>
        <w:pStyle w:val="369"/>
        <w:jc w:val="center"/>
        <w:snapToGrid w:val="1"/>
        <w:rPr>
          <w:rFonts w:ascii="宋体" w:hAnsi="宋体"/>
          <w:b/>
          <w:bCs/>
          <w:sz w:val="32"/>
          <w:szCs w:val="32"/>
        </w:rPr>
      </w:pPr>
      <w:r>
        <w:rPr>
          <w:rFonts w:ascii="宋体" w:hAnsi="宋体"/>
          <w:b/>
          <w:sz w:val="32"/>
          <w:szCs w:val="32"/>
        </w:rPr>
        <w:t xml:space="preserve">目    录</w:t>
      </w:r>
      <w:bookmarkEnd w:id="22"/>
      <w:r/>
      <w:bookmarkEnd w:id="23"/>
      <w:r/>
      <w:bookmarkEnd w:id="24"/>
      <w:r/>
      <w:bookmarkEnd w:id="25"/>
      <w:r>
        <w:rPr>
          <w:rFonts w:ascii="宋体" w:hAnsi="宋体"/>
          <w:b/>
          <w:bCs/>
          <w:sz w:val="32"/>
          <w:szCs w:val="32"/>
        </w:rPr>
      </w:r>
      <w:r/>
    </w:p>
    <w:p>
      <w:pPr>
        <w:pStyle w:val="391"/>
        <w:snapToGrid w:val="1"/>
        <w:rPr>
          <w:rFonts w:ascii="宋体" w:hAnsi="宋体"/>
          <w:sz w:val="24"/>
          <w:szCs w:val="24"/>
        </w:rPr>
      </w:pPr>
      <w:r>
        <w:rPr>
          <w:rFonts w:ascii="宋体" w:hAnsi="宋体"/>
          <w:bCs/>
          <w:sz w:val="24"/>
          <w:szCs w:val="24"/>
        </w:rPr>
        <w:fldChar w:fldCharType="begin"/>
      </w:r>
      <w:r>
        <w:rPr>
          <w:rFonts w:ascii="宋体" w:hAnsi="宋体"/>
          <w:bCs/>
          <w:sz w:val="24"/>
          <w:szCs w:val="24"/>
        </w:rPr>
        <w:instrText xml:space="preserve"> TOC \o "1-1" \h \z \u </w:instrText>
      </w:r>
      <w:r>
        <w:rPr>
          <w:rFonts w:ascii="宋体" w:hAnsi="宋体"/>
          <w:bCs/>
          <w:sz w:val="24"/>
          <w:szCs w:val="24"/>
        </w:rPr>
        <w:fldChar w:fldCharType="separate"/>
      </w: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"_Toc58146332"</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第一部分</w:t>
      </w:r>
      <w:r>
        <w:rPr>
          <w:rStyle w:val="376"/>
          <w:rFonts w:ascii="宋体" w:hAnsi="宋体"/>
          <w:sz w:val="24"/>
          <w:szCs w:val="24"/>
        </w:rPr>
        <w:t xml:space="preserve">  </w:t>
      </w:r>
      <w:r>
        <w:rPr>
          <w:rStyle w:val="376"/>
          <w:rFonts w:ascii="宋体" w:hAnsi="宋体"/>
          <w:sz w:val="24"/>
          <w:szCs w:val="24"/>
        </w:rPr>
        <w:t xml:space="preserve">集合计划的历史沿革</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_Toc58146332 \h </w:instrText>
      </w:r>
      <w:r>
        <w:rPr>
          <w:rFonts w:ascii="宋体" w:hAnsi="宋体"/>
          <w:sz w:val="24"/>
          <w:szCs w:val="24"/>
        </w:rPr>
        <w:fldChar w:fldCharType="separate"/>
      </w:r>
      <w:r>
        <w:rPr>
          <w:rFonts w:ascii="宋体" w:hAnsi="宋体"/>
          <w:sz w:val="24"/>
          <w:szCs w:val="24"/>
        </w:rPr>
        <w:t xml:space="preserve">1</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"_Toc5814633</w:instrText>
      </w:r>
      <w:r>
        <w:rPr>
          <w:rFonts w:ascii="宋体" w:hAnsi="宋体"/>
          <w:sz w:val="24"/>
          <w:szCs w:val="24"/>
        </w:rPr>
        <w:instrText xml:space="preserve">3"</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第二部分</w:t>
      </w:r>
      <w:r>
        <w:rPr>
          <w:rStyle w:val="376"/>
          <w:rFonts w:ascii="宋体" w:hAnsi="宋体"/>
          <w:sz w:val="24"/>
          <w:szCs w:val="24"/>
        </w:rPr>
        <w:t xml:space="preserve"> </w:t>
      </w:r>
      <w:r>
        <w:rPr>
          <w:rStyle w:val="376"/>
          <w:rFonts w:ascii="宋体" w:hAnsi="宋体"/>
          <w:sz w:val="24"/>
          <w:szCs w:val="24"/>
        </w:rPr>
        <w:t xml:space="preserve"> </w:t>
      </w:r>
      <w:r>
        <w:rPr>
          <w:rStyle w:val="376"/>
          <w:rFonts w:ascii="宋体" w:hAnsi="宋体"/>
          <w:sz w:val="24"/>
          <w:szCs w:val="24"/>
        </w:rPr>
        <w:t xml:space="preserve">前言</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_Toc58146333 \h </w:instrText>
      </w:r>
      <w:r>
        <w:rPr>
          <w:rFonts w:ascii="宋体" w:hAnsi="宋体"/>
          <w:sz w:val="24"/>
          <w:szCs w:val="24"/>
        </w:rPr>
        <w:fldChar w:fldCharType="separate"/>
      </w:r>
      <w:r>
        <w:rPr>
          <w:rFonts w:ascii="宋体" w:hAnsi="宋体"/>
          <w:sz w:val="24"/>
          <w:szCs w:val="24"/>
        </w:rPr>
        <w:t xml:space="preserve">2</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"_Toc58146334"</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第三部分</w:t>
      </w:r>
      <w:r>
        <w:rPr>
          <w:rStyle w:val="376"/>
          <w:rFonts w:ascii="宋体" w:hAnsi="宋体"/>
          <w:sz w:val="24"/>
          <w:szCs w:val="24"/>
        </w:rPr>
        <w:t xml:space="preserve">  </w:t>
      </w:r>
      <w:r>
        <w:rPr>
          <w:rStyle w:val="376"/>
          <w:rFonts w:ascii="宋体" w:hAnsi="宋体"/>
          <w:sz w:val="24"/>
          <w:szCs w:val="24"/>
        </w:rPr>
        <w:t xml:space="preserve">释义</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_Toc58146334 \h </w:instrText>
      </w:r>
      <w:r>
        <w:rPr>
          <w:rFonts w:ascii="宋体" w:hAnsi="宋体"/>
          <w:sz w:val="24"/>
          <w:szCs w:val="24"/>
        </w:rPr>
        <w:fldChar w:fldCharType="separate"/>
      </w:r>
      <w:r>
        <w:rPr>
          <w:rFonts w:ascii="宋体" w:hAnsi="宋体"/>
          <w:sz w:val="24"/>
          <w:szCs w:val="24"/>
        </w:rPr>
        <w:t xml:space="preserve">5</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"_Toc58146335"</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第四部分</w:t>
      </w:r>
      <w:r>
        <w:rPr>
          <w:rStyle w:val="376"/>
          <w:rFonts w:ascii="宋体" w:hAnsi="宋体"/>
          <w:sz w:val="24"/>
          <w:szCs w:val="24"/>
        </w:rPr>
        <w:t xml:space="preserve">  </w:t>
      </w:r>
      <w:r>
        <w:rPr>
          <w:rStyle w:val="376"/>
          <w:rFonts w:ascii="宋体" w:hAnsi="宋体"/>
          <w:sz w:val="24"/>
          <w:szCs w:val="24"/>
        </w:rPr>
        <w:t xml:space="preserve">集合计划的基本情况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_Toc58146335 \h </w:instrText>
      </w:r>
      <w:r>
        <w:rPr>
          <w:rFonts w:ascii="宋体" w:hAnsi="宋体"/>
          <w:sz w:val="24"/>
          <w:szCs w:val="24"/>
        </w:rPr>
        <w:fldChar w:fldCharType="separate"/>
      </w:r>
      <w:r>
        <w:rPr>
          <w:rFonts w:ascii="宋体" w:hAnsi="宋体"/>
          <w:sz w:val="24"/>
          <w:szCs w:val="24"/>
        </w:rPr>
        <w:t xml:space="preserve">11</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"_Toc58146336"</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第五部分</w:t>
      </w:r>
      <w:r>
        <w:rPr>
          <w:rStyle w:val="376"/>
          <w:rFonts w:ascii="宋体" w:hAnsi="宋体"/>
          <w:sz w:val="24"/>
          <w:szCs w:val="24"/>
        </w:rPr>
        <w:t xml:space="preserve">  </w:t>
      </w:r>
      <w:r>
        <w:rPr>
          <w:rStyle w:val="376"/>
          <w:rFonts w:ascii="宋体" w:hAnsi="宋体"/>
          <w:sz w:val="24"/>
          <w:szCs w:val="24"/>
        </w:rPr>
        <w:t xml:space="preserve">集合计划的存续</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w:instrText>
      </w:r>
      <w:r>
        <w:rPr>
          <w:rFonts w:ascii="宋体" w:hAnsi="宋体"/>
          <w:sz w:val="24"/>
          <w:szCs w:val="24"/>
        </w:rPr>
        <w:instrText xml:space="preserve">46336 \h </w:instrText>
      </w:r>
      <w:r>
        <w:rPr>
          <w:rFonts w:ascii="宋体" w:hAnsi="宋体"/>
          <w:sz w:val="24"/>
          <w:szCs w:val="24"/>
        </w:rPr>
        <w:fldChar w:fldCharType="separate"/>
      </w:r>
      <w:r>
        <w:rPr>
          <w:rFonts w:ascii="宋体" w:hAnsi="宋体"/>
          <w:sz w:val="24"/>
          <w:szCs w:val="24"/>
        </w:rPr>
        <w:t xml:space="preserve">13</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"_Toc58146337"</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第六部分</w:t>
      </w:r>
      <w:r>
        <w:rPr>
          <w:rStyle w:val="376"/>
          <w:rFonts w:ascii="宋体" w:hAnsi="宋体"/>
          <w:sz w:val="24"/>
          <w:szCs w:val="24"/>
        </w:rPr>
        <w:t xml:space="preserve">  </w:t>
      </w:r>
      <w:r>
        <w:rPr>
          <w:rStyle w:val="376"/>
          <w:rFonts w:ascii="宋体" w:hAnsi="宋体"/>
          <w:sz w:val="24"/>
          <w:szCs w:val="24"/>
        </w:rPr>
        <w:t xml:space="preserve">集合计划份额的申购与赎回</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_Toc58146337 \h </w:instrText>
      </w:r>
      <w:r>
        <w:rPr>
          <w:rFonts w:ascii="宋体" w:hAnsi="宋体"/>
          <w:sz w:val="24"/>
          <w:szCs w:val="24"/>
        </w:rPr>
        <w:fldChar w:fldCharType="separate"/>
      </w:r>
      <w:r>
        <w:rPr>
          <w:rFonts w:ascii="宋体" w:hAnsi="宋体"/>
          <w:sz w:val="24"/>
          <w:szCs w:val="24"/>
        </w:rPr>
        <w:t xml:space="preserve">14</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"_Toc58146338"</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第七部分</w:t>
      </w:r>
      <w:r>
        <w:rPr>
          <w:rStyle w:val="376"/>
          <w:rFonts w:ascii="宋体" w:hAnsi="宋体"/>
          <w:sz w:val="24"/>
          <w:szCs w:val="24"/>
        </w:rPr>
        <w:t xml:space="preserve">  </w:t>
      </w:r>
      <w:r>
        <w:rPr>
          <w:rStyle w:val="376"/>
          <w:rFonts w:ascii="宋体" w:hAnsi="宋体"/>
          <w:sz w:val="24"/>
          <w:szCs w:val="24"/>
        </w:rPr>
        <w:t xml:space="preserve">集合计划合同当事人及权利义务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_Toc58146338 \h </w:instrText>
      </w:r>
      <w:r>
        <w:rPr>
          <w:rFonts w:ascii="宋体" w:hAnsi="宋体"/>
          <w:sz w:val="24"/>
          <w:szCs w:val="24"/>
        </w:rPr>
        <w:fldChar w:fldCharType="separate"/>
      </w:r>
      <w:r>
        <w:rPr>
          <w:rFonts w:ascii="宋体" w:hAnsi="宋体"/>
          <w:sz w:val="24"/>
          <w:szCs w:val="24"/>
        </w:rPr>
        <w:t xml:space="preserve">23</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"_Toc58146339"</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第八部分</w:t>
      </w:r>
      <w:r>
        <w:rPr>
          <w:rStyle w:val="376"/>
          <w:rFonts w:ascii="宋体" w:hAnsi="宋体"/>
          <w:sz w:val="24"/>
          <w:szCs w:val="24"/>
        </w:rPr>
        <w:t xml:space="preserve">  </w:t>
      </w:r>
      <w:r>
        <w:rPr>
          <w:rStyle w:val="376"/>
          <w:rFonts w:ascii="宋体" w:hAnsi="宋体"/>
          <w:sz w:val="24"/>
          <w:szCs w:val="24"/>
        </w:rPr>
        <w:t xml:space="preserve">集合计划份额持有人大会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_Toc58146339 \h </w:instrText>
      </w:r>
      <w:r>
        <w:rPr>
          <w:rFonts w:ascii="宋体" w:hAnsi="宋体"/>
          <w:sz w:val="24"/>
          <w:szCs w:val="24"/>
        </w:rPr>
        <w:fldChar w:fldCharType="separate"/>
      </w:r>
      <w:r>
        <w:rPr>
          <w:rFonts w:ascii="宋体" w:hAnsi="宋体"/>
          <w:sz w:val="24"/>
          <w:szCs w:val="24"/>
        </w:rPr>
        <w:t xml:space="preserve">31</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w:instrText>
      </w:r>
      <w:r>
        <w:rPr>
          <w:rFonts w:ascii="宋体" w:hAnsi="宋体"/>
          <w:sz w:val="24"/>
          <w:szCs w:val="24"/>
        </w:rPr>
        <w:instrText xml:space="preserve">YPERLINK \l "_Toc58146340"</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第九部分</w:t>
      </w:r>
      <w:r>
        <w:rPr>
          <w:rStyle w:val="376"/>
          <w:rFonts w:ascii="宋体" w:hAnsi="宋体"/>
          <w:sz w:val="24"/>
          <w:szCs w:val="24"/>
        </w:rPr>
        <w:t xml:space="preserve">  </w:t>
      </w:r>
      <w:r>
        <w:rPr>
          <w:rStyle w:val="376"/>
          <w:rFonts w:ascii="宋体" w:hAnsi="宋体"/>
          <w:sz w:val="24"/>
          <w:szCs w:val="24"/>
        </w:rPr>
        <w:t xml:space="preserve">管理人、托管人的更换条件和程序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_Toc58146340 \h </w:instrText>
      </w:r>
      <w:r>
        <w:rPr>
          <w:rFonts w:ascii="宋体" w:hAnsi="宋体"/>
          <w:sz w:val="24"/>
          <w:szCs w:val="24"/>
        </w:rPr>
        <w:fldChar w:fldCharType="separate"/>
      </w:r>
      <w:r>
        <w:rPr>
          <w:rFonts w:ascii="宋体" w:hAnsi="宋体"/>
          <w:sz w:val="24"/>
          <w:szCs w:val="24"/>
        </w:rPr>
        <w:t xml:space="preserve">40</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"_Toc58146341"</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第十部分</w:t>
      </w:r>
      <w:r>
        <w:rPr>
          <w:rStyle w:val="376"/>
          <w:rFonts w:ascii="宋体" w:hAnsi="宋体"/>
          <w:sz w:val="24"/>
          <w:szCs w:val="24"/>
        </w:rPr>
        <w:t xml:space="preserve">  </w:t>
      </w:r>
      <w:r>
        <w:rPr>
          <w:rStyle w:val="376"/>
          <w:rFonts w:ascii="宋体" w:hAnsi="宋体"/>
          <w:sz w:val="24"/>
          <w:szCs w:val="24"/>
        </w:rPr>
        <w:t xml:space="preserve">集合计划的托管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_Toc58146341 \h </w:instrText>
      </w:r>
      <w:r>
        <w:rPr>
          <w:rFonts w:ascii="宋体" w:hAnsi="宋体"/>
          <w:sz w:val="24"/>
          <w:szCs w:val="24"/>
        </w:rPr>
        <w:fldChar w:fldCharType="separate"/>
      </w:r>
      <w:r>
        <w:rPr>
          <w:rFonts w:ascii="宋体" w:hAnsi="宋体"/>
          <w:sz w:val="24"/>
          <w:szCs w:val="24"/>
        </w:rPr>
        <w:t xml:space="preserve">43</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"_Toc58146342"</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第十一部分</w:t>
      </w:r>
      <w:r>
        <w:rPr>
          <w:rStyle w:val="376"/>
          <w:rFonts w:ascii="宋体" w:hAnsi="宋体"/>
          <w:sz w:val="24"/>
          <w:szCs w:val="24"/>
        </w:rPr>
        <w:t xml:space="preserve">  </w:t>
      </w:r>
      <w:r>
        <w:rPr>
          <w:rStyle w:val="376"/>
          <w:rFonts w:ascii="宋体" w:hAnsi="宋体"/>
          <w:sz w:val="24"/>
          <w:szCs w:val="24"/>
        </w:rPr>
        <w:t xml:space="preserve">集合计划份额的登记</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_Toc58146342 \h </w:instrText>
      </w:r>
      <w:r>
        <w:rPr>
          <w:rFonts w:ascii="宋体" w:hAnsi="宋体"/>
          <w:sz w:val="24"/>
          <w:szCs w:val="24"/>
        </w:rPr>
        <w:fldChar w:fldCharType="separate"/>
      </w:r>
      <w:r>
        <w:rPr>
          <w:rFonts w:ascii="宋体" w:hAnsi="宋体"/>
          <w:sz w:val="24"/>
          <w:szCs w:val="24"/>
        </w:rPr>
        <w:t xml:space="preserve">44</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w:instrText>
      </w:r>
      <w:r>
        <w:rPr>
          <w:rFonts w:ascii="宋体" w:hAnsi="宋体"/>
          <w:sz w:val="24"/>
          <w:szCs w:val="24"/>
        </w:rPr>
        <w:instrText xml:space="preserve">INK \l "_</w:instrText>
      </w:r>
      <w:r>
        <w:rPr>
          <w:rFonts w:ascii="宋体" w:hAnsi="宋体"/>
          <w:sz w:val="24"/>
          <w:szCs w:val="24"/>
        </w:rPr>
        <w:instrText xml:space="preserve">Toc58146343"</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第十二部分</w:t>
      </w:r>
      <w:r>
        <w:rPr>
          <w:rStyle w:val="376"/>
          <w:rFonts w:ascii="宋体" w:hAnsi="宋体"/>
          <w:sz w:val="24"/>
          <w:szCs w:val="24"/>
        </w:rPr>
        <w:t xml:space="preserve">  </w:t>
      </w:r>
      <w:r>
        <w:rPr>
          <w:rStyle w:val="376"/>
          <w:rFonts w:ascii="宋体" w:hAnsi="宋体"/>
          <w:sz w:val="24"/>
          <w:szCs w:val="24"/>
        </w:rPr>
        <w:t xml:space="preserve">集合计划的投资</w:t>
      </w:r>
      <w:bookmarkStart w:id="26" w:name="_Hlt64902792"/>
      <w:r/>
      <w:bookmarkStart w:id="27" w:name="_Hlt64902793"/>
      <w:r>
        <w:rPr>
          <w:rFonts w:ascii="宋体" w:hAnsi="宋体"/>
          <w:sz w:val="24"/>
          <w:szCs w:val="24"/>
        </w:rPr>
        <w:tab/>
      </w:r>
      <w:bookmarkEnd w:id="26"/>
      <w:r/>
      <w:bookmarkEnd w:id="27"/>
      <w:r>
        <w:rPr>
          <w:rFonts w:ascii="宋体" w:hAnsi="宋体"/>
          <w:sz w:val="24"/>
          <w:szCs w:val="24"/>
        </w:rPr>
        <w:fldChar w:fldCharType="begin"/>
      </w:r>
      <w:r>
        <w:rPr>
          <w:rFonts w:ascii="宋体" w:hAnsi="宋体"/>
          <w:sz w:val="24"/>
          <w:szCs w:val="24"/>
        </w:rPr>
        <w:instrText xml:space="preserve"> PAGEREF _Toc58146343 \h </w:instrText>
      </w:r>
      <w:r>
        <w:rPr>
          <w:rFonts w:ascii="宋体" w:hAnsi="宋体"/>
          <w:sz w:val="24"/>
          <w:szCs w:val="24"/>
        </w:rPr>
        <w:fldChar w:fldCharType="separate"/>
      </w:r>
      <w:r>
        <w:rPr>
          <w:rFonts w:ascii="宋体" w:hAnsi="宋体"/>
          <w:sz w:val="24"/>
          <w:szCs w:val="24"/>
        </w:rPr>
        <w:t xml:space="preserve">46</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"_Toc58146344"</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第十三部分</w:t>
      </w:r>
      <w:r>
        <w:rPr>
          <w:rStyle w:val="376"/>
          <w:rFonts w:ascii="宋体" w:hAnsi="宋体"/>
          <w:sz w:val="24"/>
          <w:szCs w:val="24"/>
        </w:rPr>
        <w:t xml:space="preserve">  </w:t>
      </w:r>
      <w:r>
        <w:rPr>
          <w:rStyle w:val="376"/>
          <w:rFonts w:ascii="宋体" w:hAnsi="宋体"/>
          <w:sz w:val="24"/>
          <w:szCs w:val="24"/>
        </w:rPr>
        <w:t xml:space="preserve">集合计划的财产</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_Toc58146344 \h </w:instrText>
      </w:r>
      <w:r>
        <w:rPr>
          <w:rFonts w:ascii="宋体" w:hAnsi="宋体"/>
          <w:sz w:val="24"/>
          <w:szCs w:val="24"/>
        </w:rPr>
        <w:fldChar w:fldCharType="separate"/>
      </w:r>
      <w:r>
        <w:rPr>
          <w:rFonts w:ascii="宋体" w:hAnsi="宋体"/>
          <w:sz w:val="24"/>
          <w:szCs w:val="24"/>
        </w:rPr>
        <w:t xml:space="preserve">56</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"_Toc58146345"</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第十四部分</w:t>
      </w:r>
      <w:r>
        <w:rPr>
          <w:rStyle w:val="376"/>
          <w:rFonts w:ascii="宋体" w:hAnsi="宋体"/>
          <w:sz w:val="24"/>
          <w:szCs w:val="24"/>
        </w:rPr>
        <w:t xml:space="preserve">  </w:t>
      </w:r>
      <w:r>
        <w:rPr>
          <w:rStyle w:val="376"/>
          <w:rFonts w:ascii="宋体" w:hAnsi="宋体"/>
          <w:sz w:val="24"/>
          <w:szCs w:val="24"/>
        </w:rPr>
        <w:t xml:space="preserve">集合计划资产估值</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_Toc58146345 \h </w:instrText>
      </w:r>
      <w:r>
        <w:rPr>
          <w:rFonts w:ascii="宋体" w:hAnsi="宋体"/>
          <w:sz w:val="24"/>
          <w:szCs w:val="24"/>
        </w:rPr>
        <w:fldChar w:fldCharType="separate"/>
      </w:r>
      <w:r>
        <w:rPr>
          <w:rFonts w:ascii="宋体" w:hAnsi="宋体"/>
          <w:sz w:val="24"/>
          <w:szCs w:val="24"/>
        </w:rPr>
        <w:t xml:space="preserve">57</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"_Toc58146346"</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第十五部分</w:t>
      </w:r>
      <w:r>
        <w:rPr>
          <w:rStyle w:val="376"/>
          <w:rFonts w:ascii="宋体" w:hAnsi="宋体"/>
          <w:sz w:val="24"/>
          <w:szCs w:val="24"/>
        </w:rPr>
        <w:t xml:space="preserve">  </w:t>
      </w:r>
      <w:r>
        <w:rPr>
          <w:rStyle w:val="376"/>
          <w:rFonts w:ascii="宋体" w:hAnsi="宋体"/>
          <w:sz w:val="24"/>
          <w:szCs w:val="24"/>
        </w:rPr>
        <w:t xml:space="preserve">集合计划费用与税收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_Toc58146346 \h </w:instrText>
      </w:r>
      <w:r>
        <w:rPr>
          <w:rFonts w:ascii="宋体" w:hAnsi="宋体"/>
          <w:sz w:val="24"/>
          <w:szCs w:val="24"/>
        </w:rPr>
        <w:fldChar w:fldCharType="separate"/>
      </w:r>
      <w:r>
        <w:rPr>
          <w:rFonts w:ascii="宋体" w:hAnsi="宋体"/>
          <w:sz w:val="24"/>
          <w:szCs w:val="24"/>
        </w:rPr>
        <w:t xml:space="preserve">64</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"_Toc58146347"</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第十六部分</w:t>
      </w:r>
      <w:r>
        <w:rPr>
          <w:rStyle w:val="376"/>
          <w:rFonts w:ascii="宋体" w:hAnsi="宋体"/>
          <w:sz w:val="24"/>
          <w:szCs w:val="24"/>
        </w:rPr>
        <w:t xml:space="preserve">  </w:t>
      </w:r>
      <w:r>
        <w:rPr>
          <w:rStyle w:val="376"/>
          <w:rFonts w:ascii="宋体" w:hAnsi="宋体"/>
          <w:sz w:val="24"/>
          <w:szCs w:val="24"/>
        </w:rPr>
        <w:t xml:space="preserve">集合计划的收益与分配</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_Toc58146347 \h </w:instrText>
      </w:r>
      <w:r>
        <w:rPr>
          <w:rFonts w:ascii="宋体" w:hAnsi="宋体"/>
          <w:sz w:val="24"/>
          <w:szCs w:val="24"/>
        </w:rPr>
        <w:fldChar w:fldCharType="separate"/>
      </w:r>
      <w:r>
        <w:rPr>
          <w:rFonts w:ascii="宋体" w:hAnsi="宋体"/>
          <w:sz w:val="24"/>
          <w:szCs w:val="24"/>
        </w:rPr>
        <w:t xml:space="preserve">66</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"_Toc58146348"</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第十七部分</w:t>
      </w:r>
      <w:r>
        <w:rPr>
          <w:rStyle w:val="376"/>
          <w:rFonts w:ascii="宋体" w:hAnsi="宋体"/>
          <w:sz w:val="24"/>
          <w:szCs w:val="24"/>
        </w:rPr>
        <w:t xml:space="preserve">  </w:t>
      </w:r>
      <w:r>
        <w:rPr>
          <w:rStyle w:val="376"/>
          <w:rFonts w:ascii="宋体" w:hAnsi="宋体"/>
          <w:sz w:val="24"/>
          <w:szCs w:val="24"/>
        </w:rPr>
        <w:t xml:space="preserve">集合计划份额的折算</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_Toc58146348 \h </w:instrText>
      </w:r>
      <w:r>
        <w:rPr>
          <w:rFonts w:ascii="宋体" w:hAnsi="宋体"/>
          <w:sz w:val="24"/>
          <w:szCs w:val="24"/>
        </w:rPr>
        <w:fldChar w:fldCharType="separate"/>
      </w:r>
      <w:r>
        <w:rPr>
          <w:rFonts w:ascii="宋体" w:hAnsi="宋体"/>
          <w:sz w:val="24"/>
          <w:szCs w:val="24"/>
        </w:rPr>
        <w:t xml:space="preserve">68</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"_Toc58146349"</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第十八部分</w:t>
      </w:r>
      <w:r>
        <w:rPr>
          <w:rStyle w:val="376"/>
          <w:rFonts w:ascii="宋体" w:hAnsi="宋体"/>
          <w:sz w:val="24"/>
          <w:szCs w:val="24"/>
        </w:rPr>
        <w:t xml:space="preserve">  </w:t>
      </w:r>
      <w:r>
        <w:rPr>
          <w:rStyle w:val="376"/>
          <w:rFonts w:ascii="宋体" w:hAnsi="宋体"/>
          <w:sz w:val="24"/>
          <w:szCs w:val="24"/>
        </w:rPr>
        <w:t xml:space="preserve">集合计划的会</w:t>
      </w:r>
      <w:r>
        <w:rPr>
          <w:rStyle w:val="376"/>
          <w:rFonts w:ascii="宋体" w:hAnsi="宋体"/>
          <w:sz w:val="24"/>
          <w:szCs w:val="24"/>
        </w:rPr>
        <w:t xml:space="preserve">计与审计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w:instrText>
      </w:r>
      <w:r>
        <w:rPr>
          <w:rFonts w:ascii="宋体" w:hAnsi="宋体"/>
          <w:sz w:val="24"/>
          <w:szCs w:val="24"/>
        </w:rPr>
        <w:instrText xml:space="preserve">GEREF _Toc58146349 \h </w:instrText>
      </w:r>
      <w:r>
        <w:rPr>
          <w:rFonts w:ascii="宋体" w:hAnsi="宋体"/>
          <w:sz w:val="24"/>
          <w:szCs w:val="24"/>
        </w:rPr>
        <w:fldChar w:fldCharType="separate"/>
      </w:r>
      <w:r>
        <w:rPr>
          <w:rFonts w:ascii="宋体" w:hAnsi="宋体"/>
          <w:sz w:val="24"/>
          <w:szCs w:val="24"/>
        </w:rPr>
        <w:t xml:space="preserve">69</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"_Toc58146350"</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第十九部分</w:t>
      </w:r>
      <w:r>
        <w:rPr>
          <w:rStyle w:val="376"/>
          <w:rFonts w:ascii="宋体" w:hAnsi="宋体"/>
          <w:sz w:val="24"/>
          <w:szCs w:val="24"/>
        </w:rPr>
        <w:t xml:space="preserve">  </w:t>
      </w:r>
      <w:r>
        <w:rPr>
          <w:rStyle w:val="376"/>
          <w:rFonts w:ascii="宋体" w:hAnsi="宋体"/>
          <w:sz w:val="24"/>
          <w:szCs w:val="24"/>
        </w:rPr>
        <w:t xml:space="preserve">集合计划的信息披露</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_Toc58146350 \h </w:instrText>
      </w:r>
      <w:r>
        <w:rPr>
          <w:rFonts w:ascii="宋体" w:hAnsi="宋体"/>
          <w:sz w:val="24"/>
          <w:szCs w:val="24"/>
        </w:rPr>
        <w:fldChar w:fldCharType="separate"/>
      </w:r>
      <w:r>
        <w:rPr>
          <w:rFonts w:ascii="宋体" w:hAnsi="宋体"/>
          <w:sz w:val="24"/>
          <w:szCs w:val="24"/>
        </w:rPr>
        <w:t xml:space="preserve">70</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"_Toc58146351"</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第二十部分</w:t>
      </w:r>
      <w:r>
        <w:rPr>
          <w:rStyle w:val="376"/>
          <w:rFonts w:ascii="宋体" w:hAnsi="宋体"/>
          <w:sz w:val="24"/>
          <w:szCs w:val="24"/>
        </w:rPr>
        <w:t xml:space="preserve">  </w:t>
      </w:r>
      <w:r>
        <w:rPr>
          <w:rStyle w:val="376"/>
          <w:rFonts w:ascii="宋体" w:hAnsi="宋体"/>
          <w:sz w:val="24"/>
          <w:szCs w:val="24"/>
        </w:rPr>
        <w:t xml:space="preserve">集合计划合同的变更、终止与集合计划财产的清算</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_Toc58146351 \h </w:instrText>
      </w:r>
      <w:r>
        <w:rPr>
          <w:rFonts w:ascii="宋体" w:hAnsi="宋体"/>
          <w:sz w:val="24"/>
          <w:szCs w:val="24"/>
        </w:rPr>
        <w:fldChar w:fldCharType="separate"/>
      </w:r>
      <w:r>
        <w:rPr>
          <w:rFonts w:ascii="宋体" w:hAnsi="宋体"/>
          <w:sz w:val="24"/>
          <w:szCs w:val="24"/>
        </w:rPr>
        <w:t xml:space="preserve">77</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"_Toc58146352"</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第二十一部分</w:t>
      </w:r>
      <w:r>
        <w:rPr>
          <w:rStyle w:val="376"/>
          <w:rFonts w:ascii="宋体" w:hAnsi="宋体"/>
          <w:sz w:val="24"/>
          <w:szCs w:val="24"/>
        </w:rPr>
        <w:t xml:space="preserve">  </w:t>
      </w:r>
      <w:r>
        <w:rPr>
          <w:rStyle w:val="376"/>
          <w:rFonts w:ascii="宋体" w:hAnsi="宋体"/>
          <w:sz w:val="24"/>
          <w:szCs w:val="24"/>
        </w:rPr>
        <w:t xml:space="preserve">违约责任</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w:instrText>
      </w:r>
      <w:r>
        <w:rPr>
          <w:rFonts w:ascii="宋体" w:hAnsi="宋体"/>
          <w:sz w:val="24"/>
          <w:szCs w:val="24"/>
        </w:rPr>
        <w:instrText xml:space="preserve">PAGEREF _</w:instrText>
      </w:r>
      <w:r>
        <w:rPr>
          <w:rFonts w:ascii="宋体" w:hAnsi="宋体"/>
          <w:sz w:val="24"/>
          <w:szCs w:val="24"/>
        </w:rPr>
        <w:instrText xml:space="preserve">Toc58146352 \h </w:instrText>
      </w:r>
      <w:r>
        <w:rPr>
          <w:rFonts w:ascii="宋体" w:hAnsi="宋体"/>
          <w:sz w:val="24"/>
          <w:szCs w:val="24"/>
        </w:rPr>
        <w:fldChar w:fldCharType="separate"/>
      </w:r>
      <w:r>
        <w:rPr>
          <w:rFonts w:ascii="宋体" w:hAnsi="宋体"/>
          <w:sz w:val="24"/>
          <w:szCs w:val="24"/>
        </w:rPr>
        <w:t xml:space="preserve">79</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"_Toc58146353"</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第二十二部分</w:t>
      </w:r>
      <w:r>
        <w:rPr>
          <w:rStyle w:val="376"/>
          <w:rFonts w:ascii="宋体" w:hAnsi="宋体"/>
          <w:sz w:val="24"/>
          <w:szCs w:val="24"/>
        </w:rPr>
        <w:t xml:space="preserve">  </w:t>
      </w:r>
      <w:r>
        <w:rPr>
          <w:rStyle w:val="376"/>
          <w:rFonts w:ascii="宋体" w:hAnsi="宋体"/>
          <w:sz w:val="24"/>
          <w:szCs w:val="24"/>
        </w:rPr>
        <w:t xml:space="preserve">争议的处理和适用的法律</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_Toc58146353 \h </w:instrText>
      </w:r>
      <w:r>
        <w:rPr>
          <w:rFonts w:ascii="宋体" w:hAnsi="宋体"/>
          <w:sz w:val="24"/>
          <w:szCs w:val="24"/>
        </w:rPr>
        <w:fldChar w:fldCharType="separate"/>
      </w:r>
      <w:r>
        <w:rPr>
          <w:rFonts w:ascii="宋体" w:hAnsi="宋体"/>
          <w:sz w:val="24"/>
          <w:szCs w:val="24"/>
        </w:rPr>
        <w:t xml:space="preserve">80</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"_Toc58146354"</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第二十三部分</w:t>
      </w:r>
      <w:r>
        <w:rPr>
          <w:rStyle w:val="376"/>
          <w:rFonts w:ascii="宋体" w:hAnsi="宋体"/>
          <w:sz w:val="24"/>
          <w:szCs w:val="24"/>
        </w:rPr>
        <w:t xml:space="preserve">  </w:t>
      </w:r>
      <w:r>
        <w:rPr>
          <w:rStyle w:val="376"/>
          <w:rFonts w:ascii="宋体" w:hAnsi="宋体"/>
          <w:sz w:val="24"/>
          <w:szCs w:val="24"/>
        </w:rPr>
        <w:t xml:space="preserve">集合计划合同的效力</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_Toc58146354 \h </w:instrText>
      </w:r>
      <w:r>
        <w:rPr>
          <w:rFonts w:ascii="宋体" w:hAnsi="宋体"/>
          <w:sz w:val="24"/>
          <w:szCs w:val="24"/>
        </w:rPr>
        <w:fldChar w:fldCharType="separate"/>
      </w:r>
      <w:r>
        <w:rPr>
          <w:rFonts w:ascii="宋体" w:hAnsi="宋体"/>
          <w:sz w:val="24"/>
          <w:szCs w:val="24"/>
        </w:rPr>
        <w:t xml:space="preserve">81</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"_Toc58146355"</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第二十四部分</w:t>
      </w:r>
      <w:r>
        <w:rPr>
          <w:rStyle w:val="376"/>
          <w:rFonts w:ascii="宋体" w:hAnsi="宋体"/>
          <w:sz w:val="24"/>
          <w:szCs w:val="24"/>
        </w:rPr>
        <w:t xml:space="preserve">  </w:t>
      </w:r>
      <w:r>
        <w:rPr>
          <w:rStyle w:val="376"/>
          <w:rFonts w:ascii="宋体" w:hAnsi="宋体"/>
          <w:sz w:val="24"/>
          <w:szCs w:val="24"/>
        </w:rPr>
        <w:t xml:space="preserve">其他事项</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w:instrText>
      </w:r>
      <w:r>
        <w:rPr>
          <w:rFonts w:ascii="宋体" w:hAnsi="宋体"/>
          <w:sz w:val="24"/>
          <w:szCs w:val="24"/>
        </w:rPr>
        <w:instrText xml:space="preserve">6355 \h </w:instrText>
      </w:r>
      <w:r>
        <w:rPr>
          <w:rFonts w:ascii="宋体" w:hAnsi="宋体"/>
          <w:sz w:val="24"/>
          <w:szCs w:val="24"/>
        </w:rPr>
        <w:fldChar w:fldCharType="separate"/>
      </w:r>
      <w:r>
        <w:rPr>
          <w:rFonts w:ascii="宋体" w:hAnsi="宋体"/>
          <w:sz w:val="24"/>
          <w:szCs w:val="24"/>
        </w:rPr>
        <w:t xml:space="preserve">82</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91"/>
        <w:snapToGrid w:val="1"/>
        <w:rPr>
          <w:rFonts w:ascii="宋体" w:hAnsi="宋体"/>
          <w:sz w:val="24"/>
          <w:szCs w:val="24"/>
        </w:rPr>
      </w:pPr>
      <w:r>
        <w:rPr>
          <w:rFonts w:ascii="宋体" w:hAnsi="宋体"/>
          <w:sz w:val="24"/>
          <w:szCs w:val="24"/>
        </w:rPr>
        <w:fldChar w:fldCharType="begin"/>
      </w:r>
      <w:r>
        <w:rPr>
          <w:rStyle w:val="376"/>
          <w:rFonts w:ascii="宋体" w:hAnsi="宋体"/>
          <w:sz w:val="24"/>
          <w:szCs w:val="24"/>
        </w:rPr>
        <w:instrText xml:space="preserve"> </w:instrText>
      </w:r>
      <w:r>
        <w:rPr>
          <w:rFonts w:ascii="宋体" w:hAnsi="宋体"/>
          <w:sz w:val="24"/>
          <w:szCs w:val="24"/>
        </w:rPr>
        <w:instrText xml:space="preserve">HYPERLINK \l "_Toc58146356"</w:instrText>
      </w:r>
      <w:r>
        <w:rPr>
          <w:rStyle w:val="376"/>
          <w:rFonts w:ascii="宋体" w:hAnsi="宋体"/>
          <w:sz w:val="24"/>
          <w:szCs w:val="24"/>
        </w:rPr>
        <w:instrText xml:space="preserve"> </w:instrText>
      </w:r>
      <w:r>
        <w:rPr>
          <w:rFonts w:ascii="宋体" w:hAnsi="宋体"/>
          <w:sz w:val="24"/>
          <w:szCs w:val="24"/>
        </w:rPr>
        <w:fldChar w:fldCharType="separate"/>
      </w:r>
      <w:r>
        <w:rPr>
          <w:rStyle w:val="376"/>
          <w:rFonts w:ascii="宋体" w:hAnsi="宋体"/>
          <w:sz w:val="24"/>
          <w:szCs w:val="24"/>
        </w:rPr>
        <w:t xml:space="preserve">第二十五部分</w:t>
      </w:r>
      <w:r>
        <w:rPr>
          <w:rStyle w:val="376"/>
          <w:rFonts w:ascii="宋体" w:hAnsi="宋体"/>
          <w:sz w:val="24"/>
          <w:szCs w:val="24"/>
        </w:rPr>
        <w:t xml:space="preserve">  </w:t>
      </w:r>
      <w:r>
        <w:rPr>
          <w:rStyle w:val="376"/>
          <w:rFonts w:ascii="宋体" w:hAnsi="宋体"/>
          <w:sz w:val="24"/>
          <w:szCs w:val="24"/>
        </w:rPr>
        <w:t xml:space="preserve">集合计划合同内容摘要</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_Toc58146356 \h </w:instrText>
      </w:r>
      <w:r>
        <w:rPr>
          <w:rFonts w:ascii="宋体" w:hAnsi="宋体"/>
          <w:sz w:val="24"/>
          <w:szCs w:val="24"/>
        </w:rPr>
        <w:fldChar w:fldCharType="separate"/>
      </w:r>
      <w:r>
        <w:rPr>
          <w:rFonts w:ascii="宋体" w:hAnsi="宋体"/>
          <w:sz w:val="24"/>
          <w:szCs w:val="24"/>
        </w:rPr>
        <w:t xml:space="preserve">83</w:t>
      </w:r>
      <w:r>
        <w:rPr>
          <w:rFonts w:ascii="宋体" w:hAnsi="宋体"/>
          <w:sz w:val="24"/>
          <w:szCs w:val="24"/>
        </w:rPr>
        <w:fldChar w:fldCharType="end"/>
      </w:r>
      <w:r>
        <w:rPr>
          <w:rFonts w:ascii="宋体" w:hAnsi="宋体"/>
          <w:sz w:val="24"/>
          <w:szCs w:val="24"/>
        </w:rPr>
        <w:fldChar w:fldCharType="end"/>
      </w:r>
      <w:r>
        <w:rPr>
          <w:rFonts w:ascii="宋体" w:hAnsi="宋体"/>
          <w:sz w:val="24"/>
          <w:szCs w:val="24"/>
        </w:rPr>
      </w:r>
      <w:r/>
    </w:p>
    <w:p>
      <w:pPr>
        <w:pStyle w:val="369"/>
        <w:snapToGrid w:val="1"/>
        <w:rPr>
          <w:rFonts w:ascii="宋体" w:hAnsi="宋体"/>
        </w:rPr>
        <w:sectPr>
          <w:headerReference w:type="default" r:id="rId10"/>
          <w:footnotePr/>
          <w:type w:val="nextPage"/>
          <w:pgSz w:w="11906" w:h="16838" w:orient="portrait"/>
          <w:pgMar w:top="1440" w:right="1800" w:bottom="1440" w:left="1800" w:header="851" w:footer="992"/>
          <w:pgNumType w:start="1"/>
          <w:cols w:num="1" w:sep="0" w:space="720" w:equalWidth="1"/>
          <w:docGrid w:linePitch="312" w:type="lines"/>
        </w:sectPr>
      </w:pPr>
      <w:r>
        <w:rPr>
          <w:rFonts w:ascii="宋体" w:hAnsi="宋体"/>
        </w:rPr>
        <w:fldChar w:fldCharType="end"/>
      </w:r>
      <w:bookmarkStart w:id="28" w:name="_Toc23386"/>
      <w:r/>
      <w:bookmarkStart w:id="29" w:name="_Toc141703880"/>
      <w:r/>
      <w:bookmarkStart w:id="30" w:name="_Toc139991730"/>
      <w:r/>
      <w:bookmarkStart w:id="31" w:name="_Toc4867"/>
      <w:r/>
      <w:bookmarkStart w:id="32" w:name="_Toc6306"/>
      <w:r/>
      <w:bookmarkStart w:id="33" w:name="_Toc8727"/>
      <w:r/>
      <w:bookmarkStart w:id="34" w:name="_Toc30935"/>
      <w:r/>
      <w:bookmarkStart w:id="35" w:name="_Toc32639"/>
      <w:r/>
      <w:bookmarkStart w:id="36" w:name="_Toc15517"/>
      <w:r/>
      <w:bookmarkStart w:id="37" w:name="_Toc29629"/>
      <w:r/>
      <w:bookmarkStart w:id="38" w:name="_Toc26897"/>
      <w:r/>
      <w:bookmarkStart w:id="39" w:name="_Toc4966"/>
      <w:r/>
      <w:bookmarkStart w:id="40" w:name="_Toc123701389"/>
      <w:r/>
      <w:bookmarkStart w:id="41" w:name="_Toc123112268"/>
      <w:r/>
      <w:bookmarkStart w:id="42" w:name="_Toc123112229"/>
      <w:r/>
      <w:bookmarkStart w:id="43" w:name="_Toc233456271"/>
      <w:r>
        <w:rPr>
          <w:rFonts w:ascii="宋体" w:hAnsi="宋体"/>
        </w:rPr>
      </w:r>
      <w:r/>
    </w:p>
    <w:p>
      <w:pPr>
        <w:pStyle w:val="370"/>
        <w:jc w:val="center"/>
        <w:snapToGrid w:val="1"/>
        <w:spacing w:after="0" w:before="0"/>
        <w:rPr>
          <w:rFonts w:hAnsi="宋体"/>
          <w:color w:val="000000"/>
          <w:sz w:val="30"/>
        </w:rPr>
      </w:pPr>
      <w:r/>
      <w:bookmarkStart w:id="44" w:name="_Toc58146332"/>
      <w:r>
        <w:rPr>
          <w:rFonts w:hAnsi="宋体"/>
          <w:color w:val="000000"/>
          <w:sz w:val="30"/>
        </w:rPr>
        <w:t xml:space="preserve">第一部分 </w:t>
      </w:r>
      <w:r>
        <w:rPr>
          <w:rFonts w:hAnsi="宋体"/>
          <w:color w:val="000000"/>
          <w:sz w:val="30"/>
        </w:rPr>
        <w:t xml:space="preserve"> </w:t>
      </w:r>
      <w:r>
        <w:rPr>
          <w:rFonts w:hAnsi="宋体"/>
          <w:color w:val="000000"/>
          <w:sz w:val="30"/>
        </w:rPr>
        <w:t xml:space="preserve">集合计划的历史沿革</w:t>
      </w:r>
      <w:bookmarkEnd w:id="44"/>
      <w:r>
        <w:rPr>
          <w:rFonts w:hAnsi="宋体"/>
          <w:color w:val="000000"/>
          <w:sz w:val="30"/>
        </w:rPr>
      </w:r>
      <w:r/>
    </w:p>
    <w:p>
      <w:pPr>
        <w:pStyle w:val="369"/>
        <w:snapToGrid w:val="1"/>
        <w:rPr>
          <w:rFonts w:ascii="宋体" w:hAnsi="宋体"/>
        </w:rPr>
      </w:pPr>
      <w:r>
        <w:rPr>
          <w:rFonts w:ascii="宋体" w:hAnsi="宋体"/>
        </w:rPr>
      </w:r>
      <w:r/>
    </w:p>
    <w:p>
      <w:pPr>
        <w:pStyle w:val="369"/>
        <w:ind w:firstLine="566"/>
        <w:snapToGrid w:val="1"/>
        <w:spacing w:lineRule="auto" w:line="360"/>
        <w:rPr>
          <w:rFonts w:ascii="宋体" w:hAnsi="宋体"/>
          <w:bCs/>
          <w:sz w:val="24"/>
        </w:rPr>
      </w:pPr>
      <w:r>
        <w:rPr>
          <w:rFonts w:ascii="宋体" w:hAnsi="宋体"/>
          <w:bCs/>
          <w:sz w:val="24"/>
        </w:rPr>
        <w:t xml:space="preserve">东海证券海盈3个月持有期混合型集合资产管理计划由东海证券东风9号集合资产管理计划变更而来。</w:t>
      </w:r>
      <w:r/>
    </w:p>
    <w:p>
      <w:pPr>
        <w:pStyle w:val="369"/>
        <w:ind w:firstLine="566"/>
        <w:snapToGrid w:val="1"/>
        <w:spacing w:lineRule="auto" w:line="360"/>
        <w:rPr>
          <w:rFonts w:ascii="宋体" w:hAnsi="宋体"/>
          <w:bCs/>
          <w:sz w:val="24"/>
        </w:rPr>
      </w:pPr>
      <w:r>
        <w:rPr>
          <w:rFonts w:ascii="宋体" w:hAnsi="宋体"/>
          <w:bCs/>
          <w:sz w:val="24"/>
        </w:rPr>
        <w:t xml:space="preserve">东海证券东风9号集合资产管理计划为非限定性集合资产管理计划，于</w:t>
      </w:r>
      <w:r>
        <w:rPr>
          <w:rFonts w:ascii="宋体" w:hAnsi="宋体"/>
          <w:bCs/>
          <w:sz w:val="24"/>
        </w:rPr>
        <w:t xml:space="preserve">20</w:t>
      </w:r>
      <w:r>
        <w:rPr>
          <w:rFonts w:ascii="宋体" w:hAnsi="宋体"/>
          <w:bCs/>
          <w:sz w:val="24"/>
        </w:rPr>
        <w:t xml:space="preserve">11</w:t>
      </w:r>
      <w:r>
        <w:rPr>
          <w:rFonts w:ascii="宋体" w:hAnsi="宋体"/>
          <w:bCs/>
          <w:sz w:val="24"/>
        </w:rPr>
        <w:t xml:space="preserve">年</w:t>
      </w:r>
      <w:r>
        <w:rPr>
          <w:rFonts w:ascii="宋体" w:hAnsi="宋体"/>
          <w:bCs/>
          <w:sz w:val="24"/>
        </w:rPr>
        <w:t xml:space="preserve">8</w:t>
      </w:r>
      <w:r>
        <w:rPr>
          <w:rFonts w:ascii="宋体" w:hAnsi="宋体"/>
          <w:bCs/>
          <w:sz w:val="24"/>
        </w:rPr>
        <w:t xml:space="preserve">月</w:t>
      </w:r>
      <w:r>
        <w:rPr>
          <w:rFonts w:ascii="宋体" w:hAnsi="宋体"/>
          <w:bCs/>
          <w:sz w:val="24"/>
        </w:rPr>
        <w:t xml:space="preserve">12</w:t>
      </w:r>
      <w:r>
        <w:rPr>
          <w:rFonts w:ascii="宋体" w:hAnsi="宋体"/>
          <w:bCs/>
          <w:sz w:val="24"/>
        </w:rPr>
        <w:t xml:space="preserve">日</w:t>
      </w:r>
      <w:r>
        <w:rPr>
          <w:rFonts w:ascii="宋体" w:hAnsi="宋体"/>
          <w:bCs/>
          <w:sz w:val="24"/>
        </w:rPr>
        <w:t xml:space="preserve">经中国证监会证监许可〔2011〕1303号文核准设立，自201</w:t>
      </w:r>
      <w:r>
        <w:rPr>
          <w:rFonts w:ascii="宋体" w:hAnsi="宋体"/>
          <w:bCs/>
          <w:sz w:val="24"/>
        </w:rPr>
        <w:t xml:space="preserve">1</w:t>
      </w:r>
      <w:r>
        <w:rPr>
          <w:rFonts w:ascii="宋体" w:hAnsi="宋体"/>
          <w:bCs/>
          <w:sz w:val="24"/>
        </w:rPr>
        <w:t xml:space="preserve">年</w:t>
      </w:r>
      <w:r>
        <w:rPr>
          <w:rFonts w:ascii="宋体" w:hAnsi="宋体"/>
          <w:bCs/>
          <w:sz w:val="24"/>
        </w:rPr>
        <w:t xml:space="preserve">11</w:t>
      </w:r>
      <w:r>
        <w:rPr>
          <w:rFonts w:ascii="宋体" w:hAnsi="宋体"/>
          <w:bCs/>
          <w:sz w:val="24"/>
        </w:rPr>
        <w:t xml:space="preserve">月</w:t>
      </w:r>
      <w:r>
        <w:rPr>
          <w:rFonts w:ascii="宋体" w:hAnsi="宋体"/>
          <w:bCs/>
          <w:sz w:val="24"/>
        </w:rPr>
        <w:t xml:space="preserve">1</w:t>
      </w:r>
      <w:r>
        <w:rPr>
          <w:rFonts w:ascii="宋体" w:hAnsi="宋体"/>
          <w:bCs/>
          <w:sz w:val="24"/>
        </w:rPr>
        <w:t xml:space="preserve">日正式发售，于201</w:t>
      </w:r>
      <w:r>
        <w:rPr>
          <w:rFonts w:ascii="宋体" w:hAnsi="宋体"/>
          <w:bCs/>
          <w:sz w:val="24"/>
        </w:rPr>
        <w:t xml:space="preserve">1</w:t>
      </w:r>
      <w:r>
        <w:rPr>
          <w:rFonts w:ascii="宋体" w:hAnsi="宋体"/>
          <w:bCs/>
          <w:sz w:val="24"/>
        </w:rPr>
        <w:t xml:space="preserve">年</w:t>
      </w:r>
      <w:r>
        <w:rPr>
          <w:rFonts w:ascii="宋体" w:hAnsi="宋体"/>
          <w:bCs/>
          <w:sz w:val="24"/>
        </w:rPr>
        <w:t xml:space="preserve">12</w:t>
      </w:r>
      <w:r>
        <w:rPr>
          <w:rFonts w:ascii="宋体" w:hAnsi="宋体"/>
          <w:bCs/>
          <w:sz w:val="24"/>
        </w:rPr>
        <w:t xml:space="preserve">月</w:t>
      </w:r>
      <w:r>
        <w:rPr>
          <w:rFonts w:ascii="宋体" w:hAnsi="宋体"/>
          <w:bCs/>
          <w:sz w:val="24"/>
        </w:rPr>
        <w:t xml:space="preserve">2</w:t>
      </w:r>
      <w:r>
        <w:rPr>
          <w:rFonts w:ascii="宋体" w:hAnsi="宋体"/>
          <w:bCs/>
          <w:sz w:val="24"/>
        </w:rPr>
        <w:t xml:space="preserve">日</w:t>
      </w:r>
      <w:r>
        <w:rPr>
          <w:rFonts w:ascii="宋体" w:hAnsi="宋体"/>
          <w:bCs/>
          <w:sz w:val="24"/>
        </w:rPr>
        <w:t xml:space="preserve">结束募集工作，并于201</w:t>
      </w:r>
      <w:r>
        <w:rPr>
          <w:rFonts w:ascii="宋体" w:hAnsi="宋体"/>
          <w:bCs/>
          <w:sz w:val="24"/>
        </w:rPr>
        <w:t xml:space="preserve">1</w:t>
      </w:r>
      <w:r>
        <w:rPr>
          <w:rFonts w:ascii="宋体" w:hAnsi="宋体"/>
          <w:bCs/>
          <w:sz w:val="24"/>
        </w:rPr>
        <w:t xml:space="preserve">年</w:t>
      </w:r>
      <w:r>
        <w:rPr>
          <w:rFonts w:ascii="宋体" w:hAnsi="宋体"/>
          <w:bCs/>
          <w:sz w:val="24"/>
        </w:rPr>
        <w:t xml:space="preserve">12</w:t>
      </w:r>
      <w:r>
        <w:rPr>
          <w:rFonts w:ascii="宋体" w:hAnsi="宋体"/>
          <w:bCs/>
          <w:sz w:val="24"/>
        </w:rPr>
        <w:t xml:space="preserve">月</w:t>
      </w:r>
      <w:r>
        <w:rPr>
          <w:rFonts w:ascii="宋体" w:hAnsi="宋体"/>
          <w:bCs/>
          <w:sz w:val="24"/>
        </w:rPr>
        <w:t xml:space="preserve">9</w:t>
      </w:r>
      <w:r>
        <w:rPr>
          <w:rFonts w:ascii="宋体" w:hAnsi="宋体"/>
          <w:bCs/>
          <w:sz w:val="24"/>
        </w:rPr>
        <w:t xml:space="preserve">日正式成立。</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根据中国证监会于2018年11月28日发布的《证券公司大集合资产管理业务适用〈关于规范金融机构资产管理业务的指导意见〉操作指引》（证监会公告〔2018〕39号）的规定，东海证券东风9号集合资产管理计划已完成产品的规范验收并向中国证监会申请合同变更。</w:t>
      </w:r>
      <w:r/>
    </w:p>
    <w:p>
      <w:pPr>
        <w:pStyle w:val="369"/>
        <w:ind w:firstLine="566"/>
        <w:snapToGrid w:val="1"/>
        <w:spacing w:lineRule="auto" w:line="360"/>
        <w:rPr>
          <w:rFonts w:ascii="宋体" w:hAnsi="宋体"/>
          <w:bCs/>
          <w:sz w:val="24"/>
        </w:rPr>
      </w:pPr>
      <w:r>
        <w:rPr>
          <w:rFonts w:ascii="宋体" w:hAnsi="宋体"/>
          <w:bCs/>
          <w:sz w:val="24"/>
        </w:rPr>
        <w:t xml:space="preserve">经中国证监会批准，自</w:t>
      </w:r>
      <w:r>
        <w:rPr>
          <w:rFonts w:ascii="宋体" w:hAnsi="宋体"/>
          <w:bCs/>
          <w:sz w:val="24"/>
        </w:rPr>
        <w:t xml:space="preserve">202</w:t>
      </w:r>
      <w:r>
        <w:rPr>
          <w:rFonts w:ascii="宋体" w:hAnsi="宋体"/>
          <w:bCs/>
          <w:sz w:val="24"/>
        </w:rPr>
        <w:t xml:space="preserve">  </w:t>
      </w:r>
      <w:r>
        <w:rPr>
          <w:rFonts w:ascii="宋体" w:hAnsi="宋体"/>
          <w:bCs/>
          <w:sz w:val="24"/>
        </w:rPr>
        <w:t xml:space="preserve">年   月   日</w:t>
      </w:r>
      <w:r>
        <w:rPr>
          <w:rFonts w:ascii="宋体" w:hAnsi="宋体"/>
          <w:bCs/>
          <w:sz w:val="24"/>
        </w:rPr>
        <w:t xml:space="preserve">起，《东海证券海盈3个月持有期混合型集合资产管理计划资产管理合同》生效，原《东海证券东风9号集合资产管理计划合同》同日起失效。</w:t>
      </w:r>
      <w:r>
        <w:rPr>
          <w:rFonts w:ascii="宋体" w:hAnsi="宋体"/>
          <w:bCs/>
          <w:sz w:val="24"/>
        </w:rPr>
      </w:r>
      <w:r/>
    </w:p>
    <w:p>
      <w:pPr>
        <w:pStyle w:val="369"/>
        <w:ind w:firstLine="566"/>
        <w:snapToGrid w:val="1"/>
        <w:spacing w:lineRule="auto" w:line="360"/>
        <w:rPr>
          <w:rFonts w:ascii="宋体" w:hAnsi="宋体"/>
          <w:bCs/>
          <w:sz w:val="24"/>
        </w:rPr>
      </w:pPr>
      <w:r>
        <w:rPr>
          <w:rFonts w:ascii="宋体" w:hAnsi="宋体"/>
          <w:bCs/>
          <w:sz w:val="24"/>
        </w:rPr>
        <w:t xml:space="preserve">管理人将按照《</w:t>
      </w:r>
      <w:r>
        <w:rPr>
          <w:rFonts w:ascii="宋体" w:hAnsi="宋体"/>
          <w:bCs/>
          <w:sz w:val="24"/>
        </w:rPr>
        <w:t xml:space="preserve">东海证券</w:t>
      </w:r>
      <w:r>
        <w:rPr>
          <w:rFonts w:ascii="宋体" w:hAnsi="宋体"/>
          <w:bCs/>
          <w:sz w:val="24"/>
        </w:rPr>
        <w:t xml:space="preserve">东风</w:t>
      </w:r>
      <w:r>
        <w:rPr>
          <w:rFonts w:ascii="宋体" w:hAnsi="宋体"/>
          <w:bCs/>
          <w:sz w:val="24"/>
        </w:rPr>
        <w:t xml:space="preserve">9</w:t>
      </w:r>
      <w:r>
        <w:rPr>
          <w:rFonts w:ascii="宋体" w:hAnsi="宋体"/>
          <w:bCs/>
          <w:sz w:val="24"/>
        </w:rPr>
        <w:t xml:space="preserve">号集合资产管理计划合同》约定的变更程序，保障对原集合</w:t>
      </w:r>
      <w:r>
        <w:rPr>
          <w:rFonts w:ascii="宋体" w:hAnsi="宋体"/>
          <w:bCs/>
          <w:sz w:val="24"/>
        </w:rPr>
        <w:t xml:space="preserve">计划变更存在异议的投资者选择退出原集合计划的权利。投资者未退出的，其持有的原集合计划份额将通过折算转换为</w:t>
      </w:r>
      <w:r>
        <w:rPr>
          <w:rFonts w:ascii="宋体" w:hAnsi="宋体"/>
          <w:bCs/>
          <w:sz w:val="24"/>
        </w:rPr>
        <w:t xml:space="preserve">东海证券</w:t>
      </w:r>
      <w:r>
        <w:rPr>
          <w:rFonts w:ascii="宋体" w:hAnsi="宋体"/>
          <w:bCs/>
          <w:sz w:val="24"/>
        </w:rPr>
        <w:t xml:space="preserve">海盈3个月</w:t>
      </w:r>
      <w:r>
        <w:rPr>
          <w:rFonts w:ascii="宋体" w:hAnsi="宋体"/>
          <w:bCs/>
          <w:sz w:val="24"/>
        </w:rPr>
        <w:t xml:space="preserve">持有期</w:t>
      </w:r>
      <w:r>
        <w:rPr>
          <w:rFonts w:ascii="宋体" w:hAnsi="宋体"/>
          <w:bCs/>
          <w:sz w:val="24"/>
        </w:rPr>
        <w:t xml:space="preserve">混合型集合资产管理计划份额。</w:t>
      </w:r>
      <w:r>
        <w:rPr>
          <w:rFonts w:ascii="宋体" w:hAnsi="宋体"/>
          <w:bCs/>
          <w:sz w:val="24"/>
        </w:rPr>
      </w:r>
      <w:r/>
    </w:p>
    <w:p>
      <w:pPr>
        <w:pStyle w:val="370"/>
        <w:jc w:val="center"/>
        <w:snapToGrid w:val="1"/>
        <w:spacing w:after="0" w:before="0"/>
        <w:rPr>
          <w:rFonts w:hAnsi="宋体"/>
          <w:color w:val="000000"/>
          <w:sz w:val="30"/>
        </w:rPr>
      </w:pPr>
      <w:r>
        <w:rPr>
          <w:rFonts w:hAnsi="宋体"/>
          <w:color w:val="000000"/>
          <w:sz w:val="30"/>
        </w:rPr>
        <w:br w:type="page"/>
      </w:r>
      <w:bookmarkStart w:id="45" w:name="_Toc58146333"/>
      <w:r>
        <w:rPr>
          <w:rFonts w:hAnsi="宋体"/>
          <w:color w:val="000000"/>
          <w:sz w:val="30"/>
        </w:rPr>
        <w:t xml:space="preserve">第</w:t>
      </w:r>
      <w:r>
        <w:rPr>
          <w:rFonts w:hAnsi="宋体"/>
          <w:color w:val="000000"/>
          <w:sz w:val="30"/>
        </w:rPr>
        <w:t xml:space="preserve">二</w:t>
      </w:r>
      <w:r>
        <w:rPr>
          <w:rFonts w:hAnsi="宋体"/>
          <w:color w:val="000000"/>
          <w:sz w:val="30"/>
        </w:rPr>
        <w:t xml:space="preserve">部分  前言</w:t>
      </w:r>
      <w:bookmarkEnd w:id="28"/>
      <w:r/>
      <w:bookmarkEnd w:id="29"/>
      <w:r/>
      <w:bookmarkEnd w:id="30"/>
      <w:r/>
      <w:bookmarkEnd w:id="31"/>
      <w:r/>
      <w:bookmarkEnd w:id="32"/>
      <w:r/>
      <w:bookmarkEnd w:id="33"/>
      <w:r/>
      <w:bookmarkEnd w:id="34"/>
      <w:r/>
      <w:bookmarkEnd w:id="35"/>
      <w:r/>
      <w:bookmarkEnd w:id="36"/>
      <w:r/>
      <w:bookmarkEnd w:id="37"/>
      <w:r/>
      <w:bookmarkEnd w:id="38"/>
      <w:r/>
      <w:bookmarkEnd w:id="39"/>
      <w:r/>
      <w:bookmarkEnd w:id="45"/>
      <w:r>
        <w:rPr>
          <w:rFonts w:hAnsi="宋体"/>
          <w:color w:val="000000"/>
          <w:sz w:val="30"/>
        </w:rPr>
      </w:r>
      <w:r/>
    </w:p>
    <w:p>
      <w:pPr>
        <w:pStyle w:val="369"/>
        <w:snapToGrid w:val="1"/>
        <w:rPr>
          <w:rFonts w:ascii="宋体" w:hAnsi="宋体"/>
          <w:bCs/>
        </w:rPr>
      </w:pPr>
      <w:r/>
      <w:bookmarkStart w:id="46" w:name="_Toc139991731"/>
      <w:r>
        <w:rPr>
          <w:rFonts w:ascii="宋体" w:hAnsi="宋体"/>
          <w:bCs/>
        </w:rPr>
      </w:r>
      <w:r/>
    </w:p>
    <w:p>
      <w:pPr>
        <w:pStyle w:val="369"/>
        <w:ind w:firstLine="480"/>
        <w:snapToGrid w:val="1"/>
        <w:spacing w:lineRule="auto" w:line="360"/>
        <w:rPr>
          <w:rFonts w:ascii="宋体" w:hAnsi="宋体"/>
          <w:bCs/>
          <w:sz w:val="24"/>
        </w:rPr>
      </w:pPr>
      <w:r/>
      <w:bookmarkEnd w:id="40"/>
      <w:r/>
      <w:bookmarkEnd w:id="41"/>
      <w:r/>
      <w:bookmarkEnd w:id="42"/>
      <w:r/>
      <w:bookmarkEnd w:id="46"/>
      <w:r/>
      <w:bookmarkStart w:id="47" w:name="_Toc258829399"/>
      <w:r>
        <w:rPr>
          <w:rFonts w:ascii="宋体" w:hAnsi="宋体"/>
          <w:bCs/>
          <w:sz w:val="24"/>
        </w:rPr>
        <w:t xml:space="preserve">一、</w:t>
      </w:r>
      <w:r>
        <w:rPr>
          <w:rFonts w:ascii="宋体" w:hAnsi="宋体"/>
          <w:bCs/>
          <w:sz w:val="24"/>
        </w:rPr>
        <w:t xml:space="preserve">订立本合同的目的、依据和原则</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订立本合同的目的是保护投资人合法权益，明确合同当事人的权利义务，规范</w:t>
      </w:r>
      <w:r>
        <w:rPr>
          <w:rFonts w:ascii="宋体" w:hAnsi="宋体"/>
          <w:bCs/>
          <w:sz w:val="24"/>
        </w:rPr>
        <w:t xml:space="preserve">东海证券海盈3个月持有期混合型集合资产管理计划</w:t>
      </w:r>
      <w:r>
        <w:rPr>
          <w:rFonts w:ascii="宋体" w:hAnsi="宋体"/>
          <w:bCs/>
          <w:sz w:val="24"/>
        </w:rPr>
        <w:t xml:space="preserve">运作。</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w:t>
      </w:r>
      <w:r>
        <w:rPr>
          <w:rFonts w:ascii="宋体" w:hAnsi="宋体"/>
          <w:bCs/>
          <w:sz w:val="24"/>
        </w:rPr>
        <w:t xml:space="preserve">订立本合同的依据是《中华人民共和国</w:t>
      </w:r>
      <w:r>
        <w:rPr>
          <w:rFonts w:ascii="宋体" w:hAnsi="宋体"/>
          <w:bCs/>
          <w:sz w:val="24"/>
        </w:rPr>
        <w:t xml:space="preserve">民法典</w:t>
      </w:r>
      <w:r>
        <w:rPr>
          <w:rFonts w:ascii="宋体" w:hAnsi="宋体"/>
          <w:bCs/>
          <w:sz w:val="24"/>
        </w:rPr>
        <w:t xml:space="preserve">》(以下简称“《</w:t>
      </w:r>
      <w:r>
        <w:rPr>
          <w:rFonts w:ascii="宋体" w:hAnsi="宋体"/>
          <w:bCs/>
          <w:sz w:val="24"/>
        </w:rPr>
        <w:t xml:space="preserve">民法典</w:t>
      </w:r>
      <w:r>
        <w:rPr>
          <w:rFonts w:ascii="宋体" w:hAnsi="宋体"/>
          <w:bCs/>
          <w:sz w:val="24"/>
        </w:rPr>
        <w:t xml:space="preserve">》”)、《中华人民共和国证券投资基金法》(以下简称“</w:t>
      </w:r>
      <w:r>
        <w:rPr>
          <w:rFonts w:ascii="宋体" w:hAnsi="宋体"/>
          <w:bCs/>
          <w:sz w:val="24"/>
        </w:rPr>
        <w:t xml:space="preserve">《基金法》”)、《</w:t>
      </w:r>
      <w:r>
        <w:rPr>
          <w:rFonts w:ascii="宋体" w:hAnsi="宋体"/>
          <w:bCs/>
          <w:sz w:val="24"/>
        </w:rPr>
        <w:t xml:space="preserve">公开募集</w:t>
      </w:r>
      <w:r>
        <w:rPr>
          <w:rFonts w:ascii="宋体" w:hAnsi="宋体"/>
          <w:bCs/>
          <w:sz w:val="24"/>
        </w:rPr>
        <w:t xml:space="preserve">证券</w:t>
      </w:r>
      <w:r>
        <w:rPr>
          <w:rFonts w:ascii="宋体" w:hAnsi="宋体"/>
          <w:bCs/>
          <w:sz w:val="24"/>
        </w:rPr>
        <w:t xml:space="preserve">投资基金运作管理办法》(以下简称“《运作办法》”)、</w:t>
      </w:r>
      <w:r>
        <w:rPr>
          <w:rFonts w:ascii="宋体" w:hAnsi="宋体"/>
          <w:sz w:val="24"/>
        </w:rPr>
        <w:t xml:space="preserve">《</w:t>
      </w:r>
      <w:r>
        <w:rPr>
          <w:rFonts w:ascii="宋体" w:hAnsi="宋体"/>
          <w:bCs/>
          <w:sz w:val="24"/>
        </w:rPr>
        <w:t xml:space="preserve">公开募集证券投资基金销售机构监督管理办法</w:t>
      </w:r>
      <w:r>
        <w:rPr>
          <w:rFonts w:ascii="宋体" w:hAnsi="宋体"/>
          <w:sz w:val="24"/>
        </w:rPr>
        <w:t xml:space="preserve">》</w:t>
      </w:r>
      <w:r>
        <w:rPr>
          <w:rFonts w:ascii="宋体" w:hAnsi="宋体"/>
          <w:bCs/>
          <w:sz w:val="24"/>
        </w:rPr>
        <w:t xml:space="preserve">(以下简称“《销售办法》”)、</w:t>
      </w:r>
      <w:r>
        <w:rPr>
          <w:rFonts w:ascii="宋体" w:hAnsi="宋体"/>
          <w:sz w:val="24"/>
        </w:rPr>
        <w:t xml:space="preserve">《公开募集证券投资基金信息披露管理办法》</w:t>
      </w:r>
      <w:r>
        <w:rPr>
          <w:rFonts w:ascii="宋体" w:hAnsi="宋体"/>
          <w:bCs/>
          <w:sz w:val="24"/>
        </w:rPr>
        <w:t xml:space="preserve">(以下简称“《信息披露办法》”)、《公开募集开放式证券投资基金流动性风险管理规定》（以下简称“《流动性风险</w:t>
      </w:r>
      <w:r>
        <w:rPr>
          <w:rFonts w:ascii="宋体" w:hAnsi="宋体"/>
          <w:bCs/>
          <w:sz w:val="24"/>
        </w:rPr>
        <w:t xml:space="preserve">管理</w:t>
      </w:r>
      <w:r>
        <w:rPr>
          <w:rFonts w:ascii="宋体" w:hAnsi="宋体"/>
          <w:bCs/>
          <w:sz w:val="24"/>
        </w:rPr>
        <w:t xml:space="preserve">规定》”）和其他有关法律法规。</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w:t>
      </w:r>
      <w:r>
        <w:rPr>
          <w:rFonts w:ascii="宋体" w:hAnsi="宋体"/>
          <w:bCs/>
          <w:sz w:val="24"/>
        </w:rPr>
        <w:t xml:space="preserve">订立本合同的原则是平等自愿、诚实信用、充分保护投资人合法权益。</w:t>
      </w:r>
      <w:r/>
    </w:p>
    <w:p>
      <w:pPr>
        <w:pStyle w:val="369"/>
        <w:ind w:firstLine="480"/>
        <w:snapToGrid w:val="1"/>
        <w:spacing w:lineRule="auto" w:line="360"/>
        <w:rPr>
          <w:rFonts w:ascii="宋体" w:hAnsi="宋体"/>
          <w:bCs/>
          <w:sz w:val="24"/>
        </w:rPr>
      </w:pPr>
      <w:r>
        <w:rPr>
          <w:rFonts w:ascii="宋体" w:hAnsi="宋体"/>
          <w:bCs/>
          <w:sz w:val="24"/>
        </w:rPr>
        <w:t xml:space="preserve">二、集合资产管理计划资产管理</w:t>
      </w:r>
      <w:r>
        <w:rPr>
          <w:rFonts w:ascii="宋体" w:hAnsi="宋体"/>
          <w:bCs/>
          <w:sz w:val="24"/>
        </w:rPr>
        <w:t xml:space="preserve">合同</w:t>
      </w:r>
      <w:r>
        <w:rPr>
          <w:rFonts w:ascii="宋体" w:hAnsi="宋体"/>
          <w:bCs/>
          <w:sz w:val="24"/>
        </w:rPr>
        <w:t xml:space="preserve">（以下简称“集合计划合同”）</w:t>
      </w:r>
      <w:r>
        <w:rPr>
          <w:rFonts w:ascii="宋体" w:hAnsi="宋体"/>
          <w:bCs/>
          <w:sz w:val="24"/>
        </w:rPr>
        <w:t xml:space="preserve">是规定</w:t>
      </w:r>
      <w:r>
        <w:rPr>
          <w:rFonts w:ascii="宋体" w:hAnsi="宋体"/>
          <w:bCs/>
          <w:sz w:val="24"/>
        </w:rPr>
        <w:t xml:space="preserve">集合</w:t>
      </w:r>
      <w:r>
        <w:rPr>
          <w:rFonts w:ascii="宋体" w:hAnsi="宋体"/>
          <w:bCs/>
          <w:sz w:val="24"/>
        </w:rPr>
        <w:t xml:space="preserve">计划合同当事人之间权利义务关系的基本</w:t>
      </w:r>
      <w:r>
        <w:rPr>
          <w:rFonts w:ascii="宋体" w:hAnsi="宋体"/>
          <w:bCs/>
          <w:sz w:val="24"/>
        </w:rPr>
        <w:t xml:space="preserve">法律文件，其他与</w:t>
      </w:r>
      <w:r>
        <w:rPr>
          <w:rFonts w:ascii="宋体" w:hAnsi="宋体"/>
          <w:bCs/>
          <w:sz w:val="24"/>
        </w:rPr>
        <w:t xml:space="preserve">集合资产管理计划</w:t>
      </w:r>
      <w:r>
        <w:rPr>
          <w:rFonts w:ascii="宋体" w:hAnsi="宋体"/>
          <w:bCs/>
          <w:sz w:val="24"/>
        </w:rPr>
        <w:t xml:space="preserve">相关的涉及集合计划合同当事人之间权利义务关系的任何文件或表述，如与</w:t>
      </w:r>
      <w:r>
        <w:rPr>
          <w:rFonts w:ascii="宋体" w:hAnsi="宋体"/>
          <w:bCs/>
          <w:sz w:val="24"/>
        </w:rPr>
        <w:t xml:space="preserve">集合</w:t>
      </w:r>
      <w:r>
        <w:rPr>
          <w:rFonts w:ascii="宋体" w:hAnsi="宋体"/>
          <w:bCs/>
          <w:sz w:val="24"/>
        </w:rPr>
        <w:t xml:space="preserve">计划合同有冲突，均以</w:t>
      </w:r>
      <w:r>
        <w:rPr>
          <w:rFonts w:ascii="宋体" w:hAnsi="宋体"/>
          <w:bCs/>
          <w:sz w:val="24"/>
        </w:rPr>
        <w:t xml:space="preserve">集合计划</w:t>
      </w:r>
      <w:r>
        <w:rPr>
          <w:rFonts w:ascii="宋体" w:hAnsi="宋体"/>
          <w:bCs/>
          <w:sz w:val="24"/>
        </w:rPr>
        <w:t xml:space="preserve">合同为准。集合计划合同当事人按照《基金法》、</w:t>
      </w:r>
      <w:r>
        <w:rPr>
          <w:rFonts w:ascii="宋体" w:hAnsi="宋体"/>
          <w:bCs/>
          <w:sz w:val="24"/>
        </w:rPr>
        <w:t xml:space="preserve">集合计划</w:t>
      </w:r>
      <w:r>
        <w:rPr>
          <w:rFonts w:ascii="宋体" w:hAnsi="宋体"/>
          <w:bCs/>
          <w:sz w:val="24"/>
        </w:rPr>
        <w:t xml:space="preserve">合同及其他有关规定享有权利、承担义务。</w:t>
      </w:r>
      <w:r>
        <w:rPr>
          <w:rFonts w:ascii="宋体" w:hAnsi="宋体"/>
          <w:bCs/>
          <w:sz w:val="24"/>
        </w:rPr>
      </w:r>
      <w:r/>
    </w:p>
    <w:p>
      <w:pPr>
        <w:pStyle w:val="369"/>
        <w:ind w:firstLine="480"/>
        <w:snapToGrid w:val="1"/>
        <w:spacing w:lineRule="auto" w:line="360"/>
        <w:rPr>
          <w:rFonts w:ascii="宋体" w:hAnsi="宋体"/>
          <w:bCs/>
        </w:rPr>
      </w:pPr>
      <w:r>
        <w:rPr>
          <w:rFonts w:ascii="宋体" w:hAnsi="宋体"/>
          <w:bCs/>
          <w:sz w:val="24"/>
        </w:rPr>
        <w:t xml:space="preserve">集合</w:t>
      </w:r>
      <w:r>
        <w:rPr>
          <w:rFonts w:ascii="宋体" w:hAnsi="宋体"/>
          <w:bCs/>
          <w:sz w:val="24"/>
        </w:rPr>
        <w:t xml:space="preserve">计划合同的当事人包括</w:t>
      </w:r>
      <w:r>
        <w:rPr>
          <w:rFonts w:ascii="宋体" w:hAnsi="宋体"/>
          <w:bCs/>
          <w:sz w:val="24"/>
        </w:rPr>
        <w:t xml:space="preserve">集合资产管理计划</w:t>
      </w:r>
      <w:r>
        <w:rPr>
          <w:rFonts w:ascii="宋体" w:hAnsi="宋体"/>
          <w:bCs/>
          <w:sz w:val="24"/>
        </w:rPr>
        <w:t xml:space="preserve">管理人</w:t>
      </w:r>
      <w:r>
        <w:rPr>
          <w:rFonts w:ascii="宋体" w:hAnsi="宋体"/>
          <w:bCs/>
          <w:sz w:val="24"/>
        </w:rPr>
        <w:t xml:space="preserve">（以下简称“管理人”）</w:t>
      </w:r>
      <w:r>
        <w:rPr>
          <w:rFonts w:ascii="宋体" w:hAnsi="宋体"/>
          <w:bCs/>
          <w:sz w:val="24"/>
        </w:rPr>
        <w:t xml:space="preserve">、</w:t>
      </w:r>
      <w:r>
        <w:rPr>
          <w:rFonts w:ascii="宋体" w:hAnsi="宋体"/>
          <w:bCs/>
          <w:sz w:val="24"/>
        </w:rPr>
        <w:t xml:space="preserve">集合资产管理计划</w:t>
      </w:r>
      <w:r>
        <w:rPr>
          <w:rFonts w:ascii="宋体" w:hAnsi="宋体"/>
          <w:bCs/>
          <w:sz w:val="24"/>
        </w:rPr>
        <w:t xml:space="preserve">托管人</w:t>
      </w:r>
      <w:r>
        <w:rPr>
          <w:rFonts w:ascii="宋体" w:hAnsi="宋体"/>
          <w:bCs/>
          <w:sz w:val="24"/>
        </w:rPr>
        <w:t xml:space="preserve">（以下简称“托管人”）</w:t>
      </w:r>
      <w:r>
        <w:rPr>
          <w:rFonts w:ascii="宋体" w:hAnsi="宋体"/>
          <w:bCs/>
          <w:sz w:val="24"/>
        </w:rPr>
        <w:t xml:space="preserve">和</w:t>
      </w:r>
      <w:r>
        <w:rPr>
          <w:rFonts w:ascii="宋体" w:hAnsi="宋体"/>
          <w:bCs/>
          <w:sz w:val="24"/>
        </w:rPr>
        <w:t xml:space="preserve">集合资产管理计划份额持有人（以下简称“集合计划</w:t>
      </w:r>
      <w:r>
        <w:rPr>
          <w:rFonts w:ascii="宋体" w:hAnsi="宋体"/>
          <w:bCs/>
          <w:sz w:val="24"/>
        </w:rPr>
        <w:t xml:space="preserve">份额持有人</w:t>
      </w:r>
      <w:r>
        <w:rPr>
          <w:rFonts w:ascii="宋体" w:hAnsi="宋体"/>
          <w:bCs/>
          <w:sz w:val="24"/>
        </w:rPr>
        <w:t xml:space="preserve">”）</w:t>
      </w:r>
      <w:r>
        <w:rPr>
          <w:rFonts w:ascii="宋体" w:hAnsi="宋体"/>
          <w:bCs/>
          <w:sz w:val="24"/>
        </w:rPr>
        <w:t xml:space="preserve">。</w:t>
      </w:r>
      <w:r>
        <w:rPr>
          <w:rFonts w:ascii="宋体" w:hAnsi="宋体"/>
          <w:bCs/>
          <w:sz w:val="24"/>
        </w:rPr>
        <w:t xml:space="preserve">集合资产管理计划</w:t>
      </w:r>
      <w:r>
        <w:rPr>
          <w:rFonts w:ascii="宋体" w:hAnsi="宋体"/>
          <w:bCs/>
          <w:sz w:val="24"/>
        </w:rPr>
        <w:t xml:space="preserve">投资人自依本合同取得</w:t>
      </w:r>
      <w:r>
        <w:rPr>
          <w:rFonts w:ascii="宋体" w:hAnsi="宋体"/>
          <w:bCs/>
          <w:sz w:val="24"/>
        </w:rPr>
        <w:t xml:space="preserve">集合资产管理计划</w:t>
      </w:r>
      <w:r>
        <w:rPr>
          <w:rFonts w:ascii="宋体" w:hAnsi="宋体"/>
          <w:bCs/>
          <w:sz w:val="24"/>
        </w:rPr>
        <w:t xml:space="preserve">份额，即成为</w:t>
      </w:r>
      <w:r>
        <w:rPr>
          <w:rFonts w:ascii="宋体" w:hAnsi="宋体"/>
          <w:bCs/>
          <w:sz w:val="24"/>
        </w:rPr>
        <w:t xml:space="preserve">集合计划份额持有人</w:t>
      </w:r>
      <w:r>
        <w:rPr>
          <w:rFonts w:ascii="宋体" w:hAnsi="宋体"/>
          <w:bCs/>
          <w:sz w:val="24"/>
        </w:rPr>
        <w:t xml:space="preserve">和本合同的当事人，其持有</w:t>
      </w:r>
      <w:r>
        <w:rPr>
          <w:rFonts w:ascii="宋体" w:hAnsi="宋体"/>
          <w:bCs/>
          <w:sz w:val="24"/>
        </w:rPr>
        <w:t xml:space="preserve">集合资</w:t>
      </w:r>
      <w:r>
        <w:rPr>
          <w:rFonts w:ascii="宋体" w:hAnsi="宋体"/>
          <w:bCs/>
          <w:sz w:val="24"/>
        </w:rPr>
        <w:t xml:space="preserve">产管理计划</w:t>
      </w:r>
      <w:r>
        <w:rPr>
          <w:rFonts w:ascii="宋体" w:hAnsi="宋体"/>
          <w:bCs/>
          <w:sz w:val="24"/>
        </w:rPr>
        <w:t xml:space="preserve">份额的行为本身即表明其对</w:t>
      </w:r>
      <w:r>
        <w:rPr>
          <w:rFonts w:ascii="宋体" w:hAnsi="宋体"/>
          <w:bCs/>
          <w:sz w:val="24"/>
        </w:rPr>
        <w:t xml:space="preserve">集合</w:t>
      </w:r>
      <w:r>
        <w:rPr>
          <w:rFonts w:ascii="宋体" w:hAnsi="宋体"/>
          <w:bCs/>
          <w:sz w:val="24"/>
        </w:rPr>
        <w:t xml:space="preserve">计划合同的承认和接受。</w:t>
      </w:r>
      <w:r>
        <w:rPr>
          <w:rFonts w:ascii="宋体" w:hAnsi="宋体"/>
          <w:bCs/>
        </w:rPr>
      </w:r>
      <w:r/>
    </w:p>
    <w:p>
      <w:pPr>
        <w:pStyle w:val="369"/>
        <w:ind w:firstLine="480"/>
        <w:snapToGrid w:val="1"/>
        <w:spacing w:lineRule="auto" w:line="360"/>
        <w:rPr>
          <w:rFonts w:ascii="宋体" w:hAnsi="宋体"/>
          <w:bCs/>
          <w:sz w:val="24"/>
        </w:rPr>
      </w:pPr>
      <w:r>
        <w:rPr>
          <w:rFonts w:ascii="宋体" w:hAnsi="宋体"/>
          <w:bCs/>
          <w:sz w:val="24"/>
        </w:rPr>
        <w:t xml:space="preserve">三、东海证券海盈3个月持有期混合型集合资产管理计划（以下简称“本集合计划”或“集合计划”）</w:t>
      </w:r>
      <w:r>
        <w:rPr>
          <w:rFonts w:ascii="宋体" w:hAnsi="宋体"/>
          <w:bCs/>
          <w:sz w:val="24"/>
        </w:rPr>
        <w:t xml:space="preserve">由</w:t>
      </w:r>
      <w:r>
        <w:rPr>
          <w:rFonts w:ascii="宋体" w:hAnsi="宋体"/>
          <w:bCs/>
          <w:sz w:val="24"/>
        </w:rPr>
        <w:t xml:space="preserve">东海证券东风9号集合资产管理计划</w:t>
      </w:r>
      <w:r>
        <w:rPr>
          <w:rFonts w:ascii="宋体" w:hAnsi="宋体"/>
          <w:bCs/>
          <w:sz w:val="24"/>
        </w:rPr>
        <w:t xml:space="preserve">变更</w:t>
      </w:r>
      <w:r>
        <w:rPr>
          <w:rFonts w:ascii="宋体" w:hAnsi="宋体"/>
          <w:bCs/>
          <w:sz w:val="24"/>
        </w:rPr>
        <w:t xml:space="preserve">而来，东海证券东风9号集合资产管理计划由</w:t>
      </w:r>
      <w:r>
        <w:rPr>
          <w:rFonts w:ascii="宋体" w:hAnsi="宋体"/>
          <w:bCs/>
          <w:sz w:val="24"/>
        </w:rPr>
        <w:t xml:space="preserve">管理人依照</w:t>
      </w:r>
      <w:r>
        <w:rPr>
          <w:rFonts w:ascii="宋体" w:hAnsi="宋体"/>
          <w:bCs/>
          <w:sz w:val="24"/>
        </w:rPr>
        <w:t xml:space="preserve">《证券公司客户资产管理业务试行办法》（证监会令第17号）、《证券公司集合资产管理业务实施细则（试行）》（证监会公告〔2008〕26号）</w:t>
      </w:r>
      <w:r>
        <w:rPr>
          <w:rFonts w:ascii="宋体" w:hAnsi="宋体"/>
          <w:bCs/>
          <w:sz w:val="24"/>
        </w:rPr>
        <w:t xml:space="preserve">、</w:t>
      </w:r>
      <w:r>
        <w:rPr>
          <w:rFonts w:ascii="宋体" w:hAnsi="宋体"/>
          <w:bCs/>
          <w:sz w:val="24"/>
        </w:rPr>
        <w:t xml:space="preserve">《东海证券东风9号集合资产管理计划合同》</w:t>
      </w:r>
      <w:r>
        <w:rPr>
          <w:rFonts w:ascii="宋体" w:hAnsi="宋体"/>
          <w:bCs/>
          <w:sz w:val="24"/>
        </w:rPr>
        <w:t xml:space="preserve">及其他有关规定募集，并经中国证券监督管理委员会(以下简称“中国证监会”)</w:t>
      </w:r>
      <w:r>
        <w:rPr>
          <w:rFonts w:ascii="宋体" w:hAnsi="宋体"/>
          <w:bCs/>
          <w:sz w:val="24"/>
        </w:rPr>
        <w:t xml:space="preserve">核准设立</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中国证监会对</w:t>
      </w:r>
      <w:r>
        <w:rPr>
          <w:rFonts w:ascii="宋体" w:hAnsi="宋体"/>
          <w:bCs/>
          <w:sz w:val="24"/>
        </w:rPr>
        <w:t xml:space="preserve">东海证券东风9号集合资产管理计划</w:t>
      </w:r>
      <w:r>
        <w:rPr>
          <w:rFonts w:ascii="宋体" w:hAnsi="宋体"/>
          <w:bCs/>
          <w:sz w:val="24"/>
        </w:rPr>
        <w:t xml:space="preserve">变更</w:t>
      </w:r>
      <w:r>
        <w:rPr>
          <w:rFonts w:ascii="宋体" w:hAnsi="宋体"/>
          <w:bCs/>
          <w:sz w:val="24"/>
        </w:rPr>
        <w:t xml:space="preserve">为</w:t>
      </w:r>
      <w:r>
        <w:rPr>
          <w:rFonts w:ascii="宋体" w:hAnsi="宋体"/>
          <w:bCs/>
          <w:sz w:val="24"/>
        </w:rPr>
        <w:t xml:space="preserve">本</w:t>
      </w:r>
      <w:r>
        <w:rPr>
          <w:rFonts w:ascii="宋体" w:hAnsi="宋体"/>
          <w:bCs/>
          <w:sz w:val="24"/>
        </w:rPr>
        <w:t xml:space="preserve">集合计划</w:t>
      </w:r>
      <w:r>
        <w:rPr>
          <w:rFonts w:ascii="宋体" w:hAnsi="宋体"/>
          <w:bCs/>
          <w:sz w:val="24"/>
        </w:rPr>
        <w:t xml:space="preserve">的</w:t>
      </w:r>
      <w:r>
        <w:rPr>
          <w:rFonts w:ascii="宋体" w:hAnsi="宋体"/>
          <w:bCs/>
          <w:sz w:val="24"/>
        </w:rPr>
        <w:t xml:space="preserve">批准</w:t>
      </w:r>
      <w:r>
        <w:rPr>
          <w:rFonts w:ascii="宋体" w:hAnsi="宋体"/>
          <w:bCs/>
          <w:sz w:val="24"/>
        </w:rPr>
        <w:t xml:space="preserve">，并不表明其对本</w:t>
      </w:r>
      <w:r>
        <w:rPr>
          <w:rFonts w:ascii="宋体" w:hAnsi="宋体"/>
          <w:bCs/>
          <w:sz w:val="24"/>
        </w:rPr>
        <w:t xml:space="preserve">集合计划</w:t>
      </w:r>
      <w:r>
        <w:rPr>
          <w:rFonts w:ascii="宋体" w:hAnsi="宋体"/>
          <w:bCs/>
          <w:sz w:val="24"/>
        </w:rPr>
        <w:t xml:space="preserve">的</w:t>
      </w:r>
      <w:r>
        <w:rPr>
          <w:rFonts w:ascii="宋体" w:hAnsi="宋体"/>
          <w:bCs/>
          <w:sz w:val="24"/>
        </w:rPr>
        <w:t xml:space="preserve">投资</w:t>
      </w:r>
      <w:r>
        <w:rPr>
          <w:rFonts w:ascii="宋体" w:hAnsi="宋体"/>
          <w:bCs/>
          <w:sz w:val="24"/>
        </w:rPr>
        <w:t xml:space="preserve">价值和</w:t>
      </w:r>
      <w:r>
        <w:rPr>
          <w:rFonts w:ascii="宋体" w:hAnsi="宋体"/>
          <w:bCs/>
          <w:sz w:val="24"/>
        </w:rPr>
        <w:t xml:space="preserve">市场前景</w:t>
      </w:r>
      <w:r>
        <w:rPr>
          <w:rFonts w:ascii="宋体" w:hAnsi="宋体"/>
          <w:bCs/>
          <w:sz w:val="24"/>
        </w:rPr>
        <w:t xml:space="preserve">做出实质性判断或保证，也不表明投资于本集合计划没有风险。</w:t>
      </w:r>
      <w:r/>
    </w:p>
    <w:p>
      <w:pPr>
        <w:pStyle w:val="369"/>
        <w:ind w:firstLine="480"/>
        <w:snapToGrid w:val="1"/>
        <w:spacing w:lineRule="auto" w:line="360"/>
        <w:rPr>
          <w:rFonts w:ascii="宋体" w:hAnsi="宋体"/>
        </w:rPr>
      </w:pPr>
      <w:r>
        <w:rPr>
          <w:rFonts w:ascii="宋体" w:hAnsi="宋体"/>
          <w:bCs/>
          <w:sz w:val="24"/>
        </w:rPr>
        <w:t xml:space="preserve">管理人依照恪尽职守、诚实信用、谨慎勤勉的原则管理和运用</w:t>
      </w:r>
      <w:r>
        <w:rPr>
          <w:rFonts w:ascii="宋体" w:hAnsi="宋体"/>
          <w:bCs/>
          <w:sz w:val="24"/>
        </w:rPr>
        <w:t xml:space="preserve">集合计划</w:t>
      </w:r>
      <w:r>
        <w:rPr>
          <w:rFonts w:ascii="宋体" w:hAnsi="宋体"/>
          <w:bCs/>
          <w:sz w:val="24"/>
        </w:rPr>
        <w:t xml:space="preserve">财产，但不保证投资于本集合计划一定盈利，也不保证最低收益。</w:t>
      </w:r>
      <w:r>
        <w:rPr>
          <w:rFonts w:ascii="宋体" w:hAnsi="宋体"/>
        </w:rPr>
      </w:r>
      <w:r/>
    </w:p>
    <w:p>
      <w:pPr>
        <w:pStyle w:val="369"/>
        <w:ind w:firstLine="480"/>
        <w:snapToGrid w:val="1"/>
        <w:spacing w:lineRule="auto" w:line="360"/>
        <w:rPr>
          <w:rFonts w:ascii="宋体" w:hAnsi="宋体"/>
          <w:bCs/>
          <w:sz w:val="24"/>
        </w:rPr>
      </w:pPr>
      <w:r>
        <w:rPr>
          <w:rFonts w:ascii="宋体" w:hAnsi="宋体"/>
          <w:bCs/>
          <w:sz w:val="24"/>
        </w:rPr>
        <w:t xml:space="preserve">投资者应当认真阅读招募说明书、</w:t>
      </w:r>
      <w:r>
        <w:rPr>
          <w:rFonts w:ascii="宋体" w:hAnsi="宋体"/>
          <w:bCs/>
          <w:sz w:val="24"/>
        </w:rPr>
        <w:t xml:space="preserve">集合计划</w:t>
      </w:r>
      <w:r>
        <w:rPr>
          <w:rFonts w:ascii="宋体" w:hAnsi="宋体"/>
          <w:bCs/>
          <w:sz w:val="24"/>
        </w:rPr>
        <w:t xml:space="preserve">合同、产品资料概要等信息披露文件，自主判断</w:t>
      </w:r>
      <w:r>
        <w:rPr>
          <w:rFonts w:ascii="宋体" w:hAnsi="宋体"/>
          <w:bCs/>
          <w:sz w:val="24"/>
        </w:rPr>
        <w:t xml:space="preserve">集合计划</w:t>
      </w:r>
      <w:r>
        <w:rPr>
          <w:rFonts w:ascii="宋体" w:hAnsi="宋体"/>
          <w:bCs/>
          <w:sz w:val="24"/>
        </w:rPr>
        <w:t xml:space="preserve">的投资价值，自主做出投资决策，自行承担投资风险。</w:t>
      </w:r>
      <w:r/>
    </w:p>
    <w:p>
      <w:pPr>
        <w:pStyle w:val="369"/>
        <w:ind w:firstLine="480"/>
        <w:snapToGrid w:val="1"/>
        <w:spacing w:lineRule="auto" w:line="360"/>
        <w:rPr>
          <w:rFonts w:ascii="宋体" w:hAnsi="宋体"/>
          <w:bCs/>
          <w:sz w:val="24"/>
        </w:rPr>
      </w:pPr>
      <w:r>
        <w:rPr>
          <w:rFonts w:ascii="宋体" w:hAnsi="宋体"/>
          <w:bCs/>
          <w:sz w:val="24"/>
        </w:rPr>
        <w:t xml:space="preserve">四</w:t>
      </w:r>
      <w:r>
        <w:rPr>
          <w:rFonts w:ascii="宋体" w:hAnsi="宋体"/>
          <w:bCs/>
          <w:sz w:val="24"/>
        </w:rPr>
        <w:t xml:space="preserve">、</w:t>
      </w:r>
      <w:r>
        <w:rPr>
          <w:rFonts w:ascii="宋体" w:hAnsi="宋体"/>
          <w:bCs/>
          <w:sz w:val="24"/>
        </w:rPr>
        <w:t xml:space="preserve">管理人、托管人在本合同之外披露涉及本集合计划的信息，其内容涉及界定集合计划合同当事人之间权利</w:t>
      </w:r>
      <w:r>
        <w:rPr>
          <w:rFonts w:ascii="宋体" w:hAnsi="宋体"/>
          <w:bCs/>
          <w:sz w:val="24"/>
        </w:rPr>
        <w:t xml:space="preserve">义务关系的，如与</w:t>
      </w:r>
      <w:r>
        <w:rPr>
          <w:rFonts w:ascii="宋体" w:hAnsi="宋体"/>
          <w:bCs/>
          <w:sz w:val="24"/>
        </w:rPr>
        <w:t xml:space="preserve">集合计划</w:t>
      </w:r>
      <w:r>
        <w:rPr>
          <w:rFonts w:ascii="宋体" w:hAnsi="宋体"/>
          <w:bCs/>
          <w:sz w:val="24"/>
        </w:rPr>
        <w:t xml:space="preserve">合同有冲</w:t>
      </w:r>
      <w:r>
        <w:rPr>
          <w:rFonts w:ascii="宋体" w:hAnsi="宋体"/>
          <w:bCs/>
          <w:sz w:val="24"/>
        </w:rPr>
        <w:t xml:space="preserve">突，以</w:t>
      </w:r>
      <w:r>
        <w:rPr>
          <w:rFonts w:ascii="宋体" w:hAnsi="宋体"/>
          <w:bCs/>
          <w:sz w:val="24"/>
        </w:rPr>
        <w:t xml:space="preserve">集合计划</w:t>
      </w:r>
      <w:r>
        <w:rPr>
          <w:rFonts w:ascii="宋体" w:hAnsi="宋体"/>
          <w:bCs/>
          <w:sz w:val="24"/>
        </w:rPr>
        <w:t xml:space="preserve">合同为准。</w:t>
      </w:r>
      <w:r/>
    </w:p>
    <w:p>
      <w:pPr>
        <w:pStyle w:val="369"/>
        <w:ind w:firstLine="480"/>
        <w:snapToGrid w:val="1"/>
        <w:spacing w:lineRule="auto" w:line="360"/>
        <w:rPr>
          <w:rFonts w:ascii="宋体" w:hAnsi="宋体"/>
          <w:bCs/>
          <w:sz w:val="24"/>
        </w:rPr>
      </w:pPr>
      <w:r>
        <w:rPr>
          <w:rFonts w:ascii="宋体" w:hAnsi="宋体"/>
          <w:bCs/>
          <w:sz w:val="24"/>
        </w:rPr>
        <w:t xml:space="preserve">五</w:t>
      </w:r>
      <w:r>
        <w:rPr>
          <w:rFonts w:ascii="宋体" w:hAnsi="宋体"/>
          <w:bCs/>
          <w:sz w:val="24"/>
        </w:rPr>
        <w:t xml:space="preserve">、本集合计划按照中国法律法规成立并运作，若集合计划</w:t>
      </w:r>
      <w:r>
        <w:rPr>
          <w:rFonts w:ascii="宋体" w:hAnsi="宋体"/>
          <w:bCs/>
          <w:sz w:val="24"/>
        </w:rPr>
        <w:t xml:space="preserve">合同的内容与届时有效的法律法规的强制性规定不一致，应当以届时有效的法律法规的规定为准。</w:t>
      </w:r>
      <w:r/>
    </w:p>
    <w:p>
      <w:pPr>
        <w:pStyle w:val="369"/>
        <w:ind w:firstLine="480"/>
        <w:snapToGrid w:val="1"/>
        <w:spacing w:lineRule="auto" w:line="360"/>
        <w:rPr>
          <w:rFonts w:ascii="宋体" w:hAnsi="宋体"/>
          <w:sz w:val="24"/>
        </w:rPr>
      </w:pPr>
      <w:r>
        <w:rPr>
          <w:rFonts w:ascii="宋体" w:hAnsi="宋体"/>
          <w:sz w:val="24"/>
        </w:rPr>
        <w:t xml:space="preserve">六、反洗钱：投资者承诺知悉反洗钱相关法律法规、监管规定，将严格遵守，不会违反任何相关规定。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2017﹞</w:t>
      </w:r>
      <w:r>
        <w:rPr>
          <w:rFonts w:ascii="宋体" w:hAnsi="宋体"/>
          <w:sz w:val="24"/>
        </w:rPr>
        <w:t xml:space="preserve">235号）、《中国人民银行关于进一步做好受益所有人身份识</w:t>
      </w:r>
      <w:r>
        <w:rPr>
          <w:rFonts w:ascii="宋体" w:hAnsi="宋体"/>
          <w:sz w:val="24"/>
        </w:rPr>
        <w:t xml:space="preserve">别有关问题的通知》（银发﹝2018﹞164号）等反洗钱相关法律法规、监管规定，将严格遵守上述规定，不会违反任何前述规定。投资者/管理人承诺用于投资的资金来源不属于违法犯罪所得及其收益；承诺投资的资金来源和去向不涉及洗钱、恐怖融资和逃税等行为；承诺向托管人出示真实有效的身份证件或者其他身份证明文件，提供真实有效的业务性质与股权或者控制权结构、提供产品受益所有人的信息和资料，并在产品受益所有人发生变化时，及时告知托管人并按托管人要求完成更新；承诺积极履行反</w:t>
      </w:r>
      <w:r>
        <w:rPr>
          <w:rFonts w:ascii="宋体" w:hAnsi="宋体"/>
          <w:sz w:val="24"/>
        </w:rPr>
        <w:t xml:space="preserve">洗钱职责，不借助本业务进行洗钱等违法犯罪活动。</w:t>
      </w:r>
      <w:r>
        <w:rPr>
          <w:rFonts w:ascii="宋体" w:hAnsi="宋体"/>
          <w:sz w:val="24"/>
        </w:rPr>
      </w:r>
      <w:r/>
    </w:p>
    <w:p>
      <w:pPr>
        <w:pStyle w:val="369"/>
        <w:ind w:firstLine="480"/>
        <w:snapToGrid w:val="1"/>
        <w:spacing w:lineRule="auto" w:line="360"/>
        <w:rPr>
          <w:rFonts w:ascii="宋体" w:hAnsi="宋体"/>
          <w:sz w:val="24"/>
        </w:rPr>
      </w:pPr>
      <w:r>
        <w:rPr>
          <w:rFonts w:ascii="宋体" w:hAnsi="宋体"/>
          <w:sz w:val="24"/>
        </w:rPr>
        <w:t xml:space="preserve">投资者/管理人承诺投资者/管理人及其关联方均不属于联合国、欧盟或美国等制裁名单，及中国政府部门或有权机关发布的涉恐及反洗钱相关风险名单内的企业或个人；不位于被联合国、欧盟或美国等制裁的国家和地区。</w:t>
      </w:r>
      <w:r/>
    </w:p>
    <w:p>
      <w:pPr>
        <w:pStyle w:val="369"/>
        <w:ind w:firstLine="480"/>
        <w:snapToGrid w:val="1"/>
        <w:spacing w:lineRule="auto" w:line="360"/>
        <w:rPr>
          <w:rFonts w:ascii="宋体" w:hAnsi="宋体"/>
          <w:bCs/>
          <w:sz w:val="24"/>
        </w:rPr>
      </w:pPr>
      <w:r>
        <w:rPr>
          <w:rFonts w:ascii="宋体" w:hAnsi="宋体"/>
          <w:bCs/>
          <w:sz w:val="24"/>
        </w:rPr>
        <w:t xml:space="preserve">七、</w:t>
      </w:r>
      <w:r>
        <w:rPr>
          <w:rFonts w:ascii="宋体" w:hAnsi="宋体"/>
          <w:bCs/>
          <w:sz w:val="24"/>
        </w:rPr>
        <w:t xml:space="preserve">本集合计划对原集合计划份额转换为本集合计划的份额不设置</w:t>
      </w:r>
      <w:r>
        <w:rPr>
          <w:rFonts w:ascii="宋体" w:hAnsi="宋体"/>
          <w:bCs/>
          <w:sz w:val="24"/>
        </w:rPr>
        <w:t xml:space="preserve">锁定</w:t>
      </w:r>
      <w:r>
        <w:rPr>
          <w:rFonts w:ascii="宋体" w:hAnsi="宋体"/>
          <w:bCs/>
          <w:sz w:val="24"/>
        </w:rPr>
        <w:t xml:space="preserve">期</w:t>
      </w:r>
      <w:r>
        <w:rPr>
          <w:rFonts w:ascii="宋体" w:hAnsi="宋体"/>
          <w:bCs/>
          <w:sz w:val="24"/>
        </w:rPr>
        <w:t xml:space="preserve">。本集合计划对本合同生效后申购的每份集合计划份额设置3个月的锁定期。在锁定期到期日之前（不含当日），投资者不能提出赎回申请；锁定期期满后（含锁定期到期日当日）投资者可以申请赎回。</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r>
      <w:r/>
    </w:p>
    <w:p>
      <w:pPr>
        <w:pStyle w:val="370"/>
        <w:jc w:val="center"/>
        <w:snapToGrid w:val="1"/>
        <w:spacing w:after="0" w:before="0"/>
        <w:rPr>
          <w:rFonts w:hAnsi="宋体"/>
          <w:color w:val="000000"/>
          <w:sz w:val="30"/>
        </w:rPr>
      </w:pPr>
      <w:r/>
      <w:bookmarkStart w:id="48" w:name="_Toc6617"/>
      <w:r/>
      <w:bookmarkStart w:id="49" w:name="_Toc15067"/>
      <w:r/>
      <w:bookmarkStart w:id="50" w:name="_Toc3224"/>
      <w:r/>
      <w:bookmarkStart w:id="51" w:name="_Toc2465"/>
      <w:r/>
      <w:bookmarkStart w:id="52" w:name="_Toc19592"/>
      <w:r/>
      <w:bookmarkStart w:id="53" w:name="_Toc819"/>
      <w:r/>
      <w:bookmarkStart w:id="54" w:name="_Toc13020"/>
      <w:r/>
      <w:bookmarkStart w:id="55" w:name="_Toc24860"/>
      <w:r/>
      <w:bookmarkStart w:id="56" w:name="_Toc22864"/>
      <w:r/>
      <w:bookmarkStart w:id="57" w:name="_Toc21301"/>
      <w:r/>
      <w:bookmarkStart w:id="58" w:name="_Toc58146334"/>
      <w:r>
        <w:rPr>
          <w:rFonts w:hAnsi="宋体"/>
          <w:color w:val="000000"/>
          <w:sz w:val="30"/>
        </w:rPr>
        <w:br w:type="page"/>
        <w:t xml:space="preserve">第三部分  释义</w:t>
      </w:r>
      <w:bookmarkEnd w:id="43"/>
      <w:r/>
      <w:bookmarkEnd w:id="47"/>
      <w:r/>
      <w:bookmarkEnd w:id="48"/>
      <w:r/>
      <w:bookmarkEnd w:id="49"/>
      <w:r/>
      <w:bookmarkEnd w:id="50"/>
      <w:r/>
      <w:bookmarkEnd w:id="51"/>
      <w:r/>
      <w:bookmarkEnd w:id="52"/>
      <w:r/>
      <w:bookmarkEnd w:id="53"/>
      <w:r/>
      <w:bookmarkEnd w:id="54"/>
      <w:r/>
      <w:bookmarkEnd w:id="55"/>
      <w:r/>
      <w:bookmarkEnd w:id="56"/>
      <w:r/>
      <w:bookmarkEnd w:id="57"/>
      <w:r/>
      <w:bookmarkEnd w:id="58"/>
      <w:r>
        <w:rPr>
          <w:rFonts w:hAnsi="宋体"/>
          <w:color w:val="000000"/>
          <w:sz w:val="30"/>
        </w:rPr>
      </w:r>
      <w:r/>
    </w:p>
    <w:p>
      <w:pPr>
        <w:pStyle w:val="369"/>
        <w:ind w:firstLine="420"/>
        <w:snapToGrid w:val="1"/>
        <w:spacing w:lineRule="auto" w:line="360"/>
        <w:rPr>
          <w:rFonts w:ascii="宋体" w:hAnsi="宋体"/>
          <w:bCs/>
        </w:rPr>
      </w:pPr>
      <w:r>
        <w:rPr>
          <w:rFonts w:ascii="宋体" w:hAnsi="宋体"/>
          <w:bCs/>
        </w:rPr>
      </w:r>
      <w:r/>
    </w:p>
    <w:p>
      <w:pPr>
        <w:pStyle w:val="369"/>
        <w:ind w:firstLine="480"/>
        <w:snapToGrid w:val="1"/>
        <w:spacing w:lineRule="auto" w:line="360"/>
        <w:rPr>
          <w:rFonts w:ascii="宋体" w:hAnsi="宋体"/>
          <w:bCs/>
          <w:sz w:val="24"/>
        </w:rPr>
      </w:pPr>
      <w:r>
        <w:rPr>
          <w:rFonts w:ascii="宋体" w:hAnsi="宋体"/>
          <w:bCs/>
          <w:sz w:val="24"/>
        </w:rPr>
        <w:t xml:space="preserve">在本合同中，除非文意另有所指，下列词语或简称具有如下</w:t>
      </w:r>
      <w:r>
        <w:rPr>
          <w:rFonts w:ascii="宋体" w:hAnsi="宋体"/>
          <w:bCs/>
          <w:sz w:val="24"/>
        </w:rPr>
        <w:t xml:space="preserve">含义：</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、集合资产管理计划：指东海证券股份有限公司设立管理的投资者人数不受2</w:t>
      </w:r>
      <w:r>
        <w:rPr>
          <w:rFonts w:ascii="宋体" w:hAnsi="宋体"/>
          <w:bCs/>
          <w:sz w:val="24"/>
        </w:rPr>
        <w:t xml:space="preserve">00人限制的集合资产管理计划</w:t>
      </w:r>
      <w:r/>
    </w:p>
    <w:p>
      <w:pPr>
        <w:pStyle w:val="369"/>
        <w:ind w:firstLine="480"/>
        <w:snapToGrid w:val="1"/>
        <w:spacing w:lineRule="auto" w:line="360"/>
        <w:rPr>
          <w:rFonts w:ascii="宋体" w:hAnsi="宋体"/>
          <w:bCs/>
          <w:sz w:val="24"/>
        </w:rPr>
      </w:pPr>
      <w:r>
        <w:rPr>
          <w:rFonts w:ascii="宋体" w:hAnsi="宋体"/>
          <w:bCs/>
          <w:sz w:val="24"/>
        </w:rPr>
        <w:t xml:space="preserve">2、集合计划</w:t>
      </w:r>
      <w:r>
        <w:rPr>
          <w:rFonts w:ascii="宋体" w:hAnsi="宋体"/>
          <w:bCs/>
          <w:sz w:val="24"/>
        </w:rPr>
        <w:t xml:space="preserve">或本</w:t>
      </w:r>
      <w:r>
        <w:rPr>
          <w:rFonts w:ascii="宋体" w:hAnsi="宋体"/>
          <w:bCs/>
          <w:sz w:val="24"/>
        </w:rPr>
        <w:t xml:space="preserve">集合计划</w:t>
      </w:r>
      <w:r>
        <w:rPr>
          <w:rFonts w:ascii="宋体" w:hAnsi="宋体"/>
          <w:bCs/>
          <w:sz w:val="24"/>
        </w:rPr>
        <w:t xml:space="preserve">：指</w:t>
      </w:r>
      <w:r>
        <w:rPr>
          <w:rFonts w:ascii="宋体" w:hAnsi="宋体"/>
          <w:bCs/>
          <w:sz w:val="24"/>
        </w:rPr>
        <w:t xml:space="preserve">东海证券海盈3个月持有期混合型集合资产管理计划</w:t>
      </w:r>
      <w:r>
        <w:rPr>
          <w:rFonts w:ascii="宋体" w:hAnsi="宋体"/>
          <w:bCs/>
          <w:sz w:val="24"/>
        </w:rPr>
        <w:t xml:space="preserve"> </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w:t>
      </w:r>
      <w:r>
        <w:rPr>
          <w:rFonts w:ascii="宋体" w:hAnsi="宋体"/>
          <w:bCs/>
          <w:sz w:val="24"/>
        </w:rPr>
        <w:t xml:space="preserve">管理人：指</w:t>
      </w:r>
      <w:r>
        <w:rPr>
          <w:rFonts w:ascii="宋体" w:hAnsi="宋体"/>
          <w:bCs/>
          <w:sz w:val="24"/>
        </w:rPr>
        <w:t xml:space="preserve">东海证券股份有限公司</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w:t>
      </w:r>
      <w:r>
        <w:rPr>
          <w:rFonts w:ascii="宋体" w:hAnsi="宋体"/>
          <w:bCs/>
          <w:sz w:val="24"/>
        </w:rPr>
        <w:t xml:space="preserve">托管人：指</w:t>
      </w:r>
      <w:r>
        <w:rPr>
          <w:rFonts w:ascii="宋体" w:hAnsi="宋体"/>
          <w:bCs/>
          <w:sz w:val="24"/>
        </w:rPr>
        <w:t xml:space="preserve">交通银行股份有限公司</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、集合计划</w:t>
      </w:r>
      <w:r>
        <w:rPr>
          <w:rFonts w:ascii="宋体" w:hAnsi="宋体"/>
          <w:bCs/>
          <w:sz w:val="24"/>
        </w:rPr>
        <w:t xml:space="preserve">合同</w:t>
      </w:r>
      <w:r>
        <w:rPr>
          <w:rFonts w:ascii="宋体" w:hAnsi="宋体"/>
          <w:bCs/>
          <w:sz w:val="24"/>
        </w:rPr>
        <w:t xml:space="preserve">、《集合计划合同》</w:t>
      </w:r>
      <w:r>
        <w:rPr>
          <w:rFonts w:ascii="宋体" w:hAnsi="宋体"/>
          <w:bCs/>
          <w:sz w:val="24"/>
        </w:rPr>
        <w:t xml:space="preserve">或本合同：指《</w:t>
      </w:r>
      <w:r>
        <w:rPr>
          <w:rFonts w:ascii="宋体" w:hAnsi="宋体"/>
          <w:bCs/>
          <w:sz w:val="24"/>
        </w:rPr>
        <w:t xml:space="preserve">东海证券海盈3个月持有期混合型集合资产管理计划资产管理</w:t>
      </w:r>
      <w:r>
        <w:rPr>
          <w:rFonts w:ascii="宋体" w:hAnsi="宋体"/>
          <w:bCs/>
          <w:sz w:val="24"/>
        </w:rPr>
        <w:t xml:space="preserve">合同》及对本合同的任何有效修订和补充</w:t>
      </w:r>
      <w:r/>
    </w:p>
    <w:p>
      <w:pPr>
        <w:pStyle w:val="369"/>
        <w:ind w:firstLine="480"/>
        <w:snapToGrid w:val="1"/>
        <w:spacing w:lineRule="auto" w:line="360"/>
        <w:rPr>
          <w:rFonts w:ascii="宋体" w:hAnsi="宋体"/>
          <w:bCs/>
          <w:sz w:val="24"/>
        </w:rPr>
      </w:pPr>
      <w:r>
        <w:rPr>
          <w:rFonts w:ascii="宋体" w:hAnsi="宋体"/>
          <w:bCs/>
          <w:sz w:val="24"/>
        </w:rPr>
        <w:t xml:space="preserve">6</w:t>
      </w:r>
      <w:r>
        <w:rPr>
          <w:rFonts w:ascii="宋体" w:hAnsi="宋体"/>
          <w:bCs/>
          <w:sz w:val="24"/>
        </w:rPr>
        <w:t xml:space="preserve">、</w:t>
      </w:r>
      <w:r>
        <w:rPr>
          <w:rFonts w:ascii="宋体" w:hAnsi="宋体"/>
          <w:bCs/>
          <w:sz w:val="24"/>
        </w:rPr>
        <w:t xml:space="preserve">托管协议：指管理人与托管人就本</w:t>
      </w:r>
      <w:r>
        <w:rPr>
          <w:rFonts w:ascii="宋体" w:hAnsi="宋体"/>
          <w:bCs/>
          <w:sz w:val="24"/>
        </w:rPr>
        <w:t xml:space="preserve">集合计划</w:t>
      </w:r>
      <w:r>
        <w:rPr>
          <w:rFonts w:ascii="宋体" w:hAnsi="宋体"/>
          <w:bCs/>
          <w:sz w:val="24"/>
        </w:rPr>
        <w:t xml:space="preserve">签订之《</w:t>
      </w:r>
      <w:r>
        <w:rPr>
          <w:rFonts w:ascii="宋体" w:hAnsi="宋体"/>
          <w:bCs/>
          <w:sz w:val="24"/>
        </w:rPr>
        <w:t xml:space="preserve">东海证券海</w:t>
      </w:r>
      <w:r>
        <w:rPr>
          <w:rFonts w:ascii="宋体" w:hAnsi="宋体"/>
          <w:bCs/>
          <w:sz w:val="24"/>
        </w:rPr>
        <w:t xml:space="preserve">盈3个月持有期混合型集合资产管理计划</w:t>
      </w:r>
      <w:r>
        <w:rPr>
          <w:rFonts w:ascii="宋体" w:hAnsi="宋体"/>
          <w:bCs/>
          <w:sz w:val="24"/>
        </w:rPr>
        <w:t xml:space="preserve">托管协议》及对该托管协议的任何有效修订和补充</w:t>
      </w:r>
      <w:r/>
    </w:p>
    <w:p>
      <w:pPr>
        <w:pStyle w:val="369"/>
        <w:ind w:firstLine="480"/>
        <w:snapToGrid w:val="1"/>
        <w:spacing w:lineRule="auto" w:line="360"/>
        <w:rPr>
          <w:rFonts w:ascii="宋体" w:hAnsi="宋体"/>
          <w:bCs/>
          <w:sz w:val="24"/>
        </w:rPr>
      </w:pPr>
      <w:r>
        <w:rPr>
          <w:rFonts w:ascii="宋体" w:hAnsi="宋体"/>
          <w:bCs/>
          <w:sz w:val="24"/>
        </w:rPr>
        <w:t xml:space="preserve">7</w:t>
      </w:r>
      <w:bookmarkStart w:id="59" w:name="_Hlk57624176"/>
      <w:r>
        <w:rPr>
          <w:rFonts w:ascii="宋体" w:hAnsi="宋体"/>
          <w:bCs/>
          <w:sz w:val="24"/>
        </w:rPr>
        <w:t xml:space="preserve">、</w:t>
      </w:r>
      <w:bookmarkEnd w:id="59"/>
      <w:r>
        <w:rPr>
          <w:rFonts w:ascii="宋体" w:hAnsi="宋体"/>
          <w:bCs/>
          <w:sz w:val="24"/>
        </w:rPr>
        <w:t xml:space="preserve">招募说明书：指《</w:t>
      </w:r>
      <w:bookmarkStart w:id="60" w:name="_Hlk57624196"/>
      <w:r>
        <w:rPr>
          <w:rFonts w:ascii="宋体" w:hAnsi="宋体"/>
          <w:bCs/>
          <w:sz w:val="24"/>
        </w:rPr>
        <w:t xml:space="preserve">东海证券海盈3个月</w:t>
      </w:r>
      <w:bookmarkEnd w:id="60"/>
      <w:r>
        <w:rPr>
          <w:rFonts w:ascii="宋体" w:hAnsi="宋体"/>
          <w:bCs/>
          <w:sz w:val="24"/>
        </w:rPr>
        <w:t xml:space="preserve">持有期混合型集合资产管理计划</w:t>
      </w:r>
      <w:r>
        <w:rPr>
          <w:rFonts w:ascii="宋体" w:hAnsi="宋体"/>
          <w:bCs/>
          <w:sz w:val="24"/>
        </w:rPr>
        <w:t xml:space="preserve">招募说明书》及其更新</w:t>
      </w:r>
      <w:r/>
    </w:p>
    <w:p>
      <w:pPr>
        <w:pStyle w:val="369"/>
        <w:ind w:firstLine="480"/>
        <w:snapToGrid w:val="1"/>
        <w:spacing w:lineRule="auto" w:line="360"/>
        <w:rPr>
          <w:rFonts w:ascii="宋体" w:hAnsi="宋体"/>
          <w:bCs/>
          <w:sz w:val="24"/>
        </w:rPr>
      </w:pPr>
      <w:r>
        <w:rPr>
          <w:rFonts w:ascii="宋体" w:hAnsi="宋体"/>
          <w:bCs/>
          <w:sz w:val="24"/>
        </w:rPr>
        <w:t xml:space="preserve">8</w:t>
      </w:r>
      <w:r>
        <w:rPr>
          <w:rFonts w:ascii="宋体" w:hAnsi="宋体"/>
          <w:bCs/>
          <w:sz w:val="24"/>
        </w:rPr>
        <w:t xml:space="preserve">、</w:t>
      </w:r>
      <w:r>
        <w:rPr>
          <w:rFonts w:ascii="宋体" w:hAnsi="宋体"/>
          <w:sz w:val="24"/>
        </w:rPr>
        <w:t xml:space="preserve">产品资料概要：指《东海证券</w:t>
      </w:r>
      <w:r>
        <w:rPr>
          <w:rFonts w:ascii="宋体" w:hAnsi="宋体"/>
          <w:bCs/>
          <w:sz w:val="24"/>
        </w:rPr>
        <w:t xml:space="preserve">海盈3个月</w:t>
      </w:r>
      <w:r>
        <w:rPr>
          <w:rFonts w:ascii="宋体" w:hAnsi="宋体"/>
          <w:sz w:val="24"/>
        </w:rPr>
        <w:t xml:space="preserve">持有期混合型集合资产管理计划产品资料概要》及其更新</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9</w:t>
      </w:r>
      <w:r>
        <w:rPr>
          <w:rFonts w:ascii="宋体" w:hAnsi="宋体"/>
          <w:bCs/>
          <w:sz w:val="24"/>
        </w:rPr>
        <w:t xml:space="preserve">、</w:t>
      </w:r>
      <w:r>
        <w:rPr>
          <w:rFonts w:ascii="宋体" w:hAnsi="宋体"/>
          <w:bCs/>
          <w:sz w:val="24"/>
        </w:rPr>
        <w:t xml:space="preserve">法律法规：指中国现行有效并公布实施的法律、行政法规、规范性文件、司法解释、行政规章以及其他对本合同当事人有约束力的决定、决议、通知等</w:t>
      </w:r>
      <w:r/>
    </w:p>
    <w:p>
      <w:pPr>
        <w:pStyle w:val="369"/>
        <w:ind w:firstLine="480"/>
        <w:snapToGrid w:val="1"/>
        <w:spacing w:lineRule="auto" w:line="360"/>
        <w:rPr>
          <w:rFonts w:ascii="宋体" w:hAnsi="宋体"/>
          <w:bCs/>
          <w:sz w:val="24"/>
        </w:rPr>
      </w:pPr>
      <w:r>
        <w:rPr>
          <w:rFonts w:ascii="宋体" w:hAnsi="宋体"/>
          <w:bCs/>
          <w:sz w:val="24"/>
        </w:rPr>
        <w:t xml:space="preserve">10</w:t>
      </w:r>
      <w:r>
        <w:rPr>
          <w:rFonts w:ascii="宋体" w:hAnsi="宋体"/>
          <w:bCs/>
          <w:sz w:val="24"/>
        </w:rPr>
        <w:t xml:space="preserve">、</w:t>
      </w:r>
      <w:r>
        <w:rPr>
          <w:rFonts w:ascii="宋体" w:hAnsi="宋体"/>
          <w:bCs/>
          <w:sz w:val="24"/>
        </w:rPr>
        <w:t xml:space="preserve">《基金法》：指2003年10月28日经第十届全国人民代表大会常务委员会第五次会议通过，经2012年12月2</w:t>
      </w:r>
      <w:r>
        <w:rPr>
          <w:rFonts w:ascii="宋体" w:hAnsi="宋体"/>
          <w:bCs/>
          <w:sz w:val="24"/>
        </w:rPr>
        <w:t xml:space="preserve">8日第十一届全国人民代表大会常务委员会第三十次会议修订，</w:t>
      </w:r>
      <w:r>
        <w:rPr>
          <w:rFonts w:ascii="宋体" w:hAnsi="宋体"/>
          <w:bCs/>
          <w:sz w:val="24"/>
        </w:rPr>
        <w:t xml:space="preserve">自2013年6月1日起实施，并经2015年4月24日第十二届全国人民代表大会常务委员会第十四次会议《全国人民代表大会常务委员会关于修改</w:t>
      </w:r>
      <w:r>
        <w:rPr>
          <w:rFonts w:ascii="宋体" w:hAnsi="宋体"/>
          <w:bCs/>
          <w:sz w:val="24"/>
        </w:rPr>
        <w:t xml:space="preserve">〈</w:t>
      </w:r>
      <w:r>
        <w:rPr>
          <w:rFonts w:ascii="宋体" w:hAnsi="宋体"/>
          <w:bCs/>
          <w:sz w:val="24"/>
        </w:rPr>
        <w:t xml:space="preserve">中华人民共和国港口法</w:t>
      </w:r>
      <w:r>
        <w:rPr>
          <w:rFonts w:ascii="宋体" w:hAnsi="宋体"/>
          <w:bCs/>
          <w:sz w:val="24"/>
        </w:rPr>
        <w:t xml:space="preserve">〉</w:t>
      </w:r>
      <w:r>
        <w:rPr>
          <w:rFonts w:ascii="宋体" w:hAnsi="宋体"/>
          <w:bCs/>
          <w:sz w:val="24"/>
        </w:rPr>
        <w:t xml:space="preserve">等七部法律的决定》修</w:t>
      </w:r>
      <w:r>
        <w:rPr>
          <w:rFonts w:ascii="宋体" w:hAnsi="宋体"/>
          <w:bCs/>
          <w:sz w:val="24"/>
        </w:rPr>
        <w:t xml:space="preserve">正</w:t>
      </w:r>
      <w:r>
        <w:rPr>
          <w:rFonts w:ascii="宋体" w:hAnsi="宋体"/>
          <w:bCs/>
          <w:sz w:val="24"/>
        </w:rPr>
        <w:t xml:space="preserve">的《中华人民共和国证券投资基金法》及颁布机关对其不时做出的修订</w:t>
      </w:r>
      <w:r/>
    </w:p>
    <w:p>
      <w:pPr>
        <w:pStyle w:val="369"/>
        <w:ind w:firstLine="480"/>
        <w:snapToGrid w:val="1"/>
        <w:spacing w:lineRule="auto" w:line="360"/>
        <w:rPr>
          <w:rFonts w:ascii="宋体" w:hAnsi="宋体"/>
          <w:bCs/>
          <w:sz w:val="24"/>
        </w:rPr>
      </w:pPr>
      <w:r>
        <w:rPr>
          <w:rFonts w:ascii="宋体" w:hAnsi="宋体"/>
          <w:bCs/>
          <w:sz w:val="24"/>
        </w:rPr>
        <w:t xml:space="preserve">11</w:t>
      </w:r>
      <w:r>
        <w:rPr>
          <w:rFonts w:ascii="宋体" w:hAnsi="宋体"/>
          <w:bCs/>
          <w:sz w:val="24"/>
        </w:rPr>
        <w:t xml:space="preserve">、</w:t>
      </w:r>
      <w:r>
        <w:rPr>
          <w:rFonts w:ascii="宋体" w:hAnsi="宋体"/>
          <w:bCs/>
          <w:sz w:val="24"/>
        </w:rPr>
        <w:t xml:space="preserve">《销售办法》：指中国证监会2020年8月28日颁布、同年10月1日实施的《</w:t>
      </w:r>
      <w:r>
        <w:rPr>
          <w:rFonts w:ascii="宋体" w:hAnsi="宋体"/>
          <w:bCs/>
          <w:sz w:val="24"/>
        </w:rPr>
        <w:t xml:space="preserve">公开募集证券投资基金销售机构监督管理办法</w:t>
      </w:r>
      <w:r>
        <w:rPr>
          <w:rFonts w:ascii="宋体" w:hAnsi="宋体"/>
          <w:bCs/>
          <w:sz w:val="24"/>
        </w:rPr>
        <w:t xml:space="preserve">》及颁布机关对其不时做出的修订</w:t>
      </w:r>
      <w:r/>
    </w:p>
    <w:p>
      <w:pPr>
        <w:pStyle w:val="369"/>
        <w:ind w:firstLine="480"/>
        <w:snapToGrid w:val="1"/>
        <w:spacing w:lineRule="auto" w:line="360"/>
        <w:rPr>
          <w:rFonts w:ascii="宋体" w:hAnsi="宋体"/>
          <w:bCs/>
          <w:sz w:val="24"/>
        </w:rPr>
      </w:pPr>
      <w:r>
        <w:rPr>
          <w:rFonts w:ascii="宋体" w:hAnsi="宋体"/>
          <w:bCs/>
          <w:sz w:val="24"/>
        </w:rPr>
        <w:t xml:space="preserve">12</w:t>
      </w:r>
      <w:r>
        <w:rPr>
          <w:rFonts w:ascii="宋体" w:hAnsi="宋体"/>
          <w:bCs/>
          <w:sz w:val="24"/>
        </w:rPr>
        <w:t xml:space="preserve">、</w:t>
      </w:r>
      <w:r>
        <w:rPr>
          <w:rFonts w:ascii="宋体" w:hAnsi="宋体"/>
          <w:bCs/>
          <w:sz w:val="24"/>
        </w:rPr>
        <w:t xml:space="preserve">《信息披露办法》：指中国证监会</w:t>
      </w:r>
      <w:r>
        <w:rPr>
          <w:rFonts w:ascii="宋体" w:hAnsi="宋体"/>
          <w:sz w:val="24"/>
        </w:rPr>
        <w:t xml:space="preserve">20</w:t>
      </w:r>
      <w:r>
        <w:rPr>
          <w:rFonts w:ascii="宋体" w:hAnsi="宋体"/>
          <w:sz w:val="24"/>
        </w:rPr>
        <w:t xml:space="preserve">19</w:t>
      </w:r>
      <w:r>
        <w:rPr>
          <w:rFonts w:ascii="宋体" w:hAnsi="宋体"/>
          <w:sz w:val="24"/>
        </w:rPr>
        <w:t xml:space="preserve">年</w:t>
      </w:r>
      <w:r>
        <w:rPr>
          <w:rFonts w:ascii="宋体" w:hAnsi="宋体"/>
          <w:sz w:val="24"/>
        </w:rPr>
        <w:t xml:space="preserve">7</w:t>
      </w:r>
      <w:r>
        <w:rPr>
          <w:rFonts w:ascii="宋体" w:hAnsi="宋体"/>
          <w:sz w:val="24"/>
        </w:rPr>
        <w:t xml:space="preserve">月</w:t>
      </w:r>
      <w:r>
        <w:rPr>
          <w:rFonts w:ascii="宋体" w:hAnsi="宋体"/>
          <w:sz w:val="24"/>
        </w:rPr>
        <w:t xml:space="preserve">26</w:t>
      </w:r>
      <w:r>
        <w:rPr>
          <w:rFonts w:ascii="宋体" w:hAnsi="宋体"/>
          <w:sz w:val="24"/>
        </w:rPr>
        <w:t xml:space="preserve">日颁布</w:t>
      </w:r>
      <w:r>
        <w:rPr>
          <w:rFonts w:ascii="宋体" w:hAnsi="宋体"/>
          <w:sz w:val="24"/>
        </w:rPr>
        <w:t xml:space="preserve">、同年</w:t>
      </w:r>
      <w:r>
        <w:rPr>
          <w:rFonts w:ascii="宋体" w:hAnsi="宋体"/>
          <w:sz w:val="24"/>
        </w:rPr>
        <w:t xml:space="preserve">9</w:t>
      </w:r>
      <w:r>
        <w:rPr>
          <w:rFonts w:ascii="宋体" w:hAnsi="宋体"/>
          <w:sz w:val="24"/>
        </w:rPr>
        <w:t xml:space="preserve">月1日实施的</w:t>
      </w:r>
      <w:r>
        <w:rPr>
          <w:rFonts w:ascii="宋体" w:hAnsi="宋体"/>
          <w:sz w:val="24"/>
        </w:rPr>
        <w:t xml:space="preserve">，并经2020年</w:t>
      </w:r>
      <w:r>
        <w:rPr>
          <w:rFonts w:ascii="宋体" w:hAnsi="宋体"/>
          <w:sz w:val="24"/>
        </w:rPr>
        <w:t xml:space="preserve">3月20日中国证监会《关于修改部分证券期货规章的决定》修正的</w:t>
      </w:r>
      <w:r>
        <w:rPr>
          <w:rFonts w:ascii="宋体" w:hAnsi="宋体"/>
          <w:sz w:val="24"/>
        </w:rPr>
        <w:t xml:space="preserve">《</w:t>
      </w:r>
      <w:r>
        <w:rPr>
          <w:rFonts w:ascii="宋体" w:hAnsi="宋体"/>
          <w:sz w:val="24"/>
        </w:rPr>
        <w:t xml:space="preserve">公开募集</w:t>
      </w:r>
      <w:r>
        <w:rPr>
          <w:rFonts w:ascii="宋体" w:hAnsi="宋体"/>
          <w:sz w:val="24"/>
        </w:rPr>
        <w:t xml:space="preserve">证券投资基金信息披露管理办法》</w:t>
      </w:r>
      <w:r>
        <w:rPr>
          <w:rFonts w:ascii="宋体" w:hAnsi="宋体"/>
          <w:bCs/>
          <w:sz w:val="24"/>
        </w:rPr>
        <w:t xml:space="preserve">及颁布机关对其不时做出的修订</w:t>
      </w:r>
      <w:r/>
    </w:p>
    <w:p>
      <w:pPr>
        <w:pStyle w:val="369"/>
        <w:ind w:firstLine="480"/>
        <w:snapToGrid w:val="1"/>
        <w:spacing w:lineRule="auto" w:line="360"/>
        <w:rPr>
          <w:rFonts w:ascii="宋体" w:hAnsi="宋体"/>
          <w:bCs/>
          <w:sz w:val="24"/>
        </w:rPr>
      </w:pPr>
      <w:r>
        <w:rPr>
          <w:rFonts w:ascii="宋体" w:hAnsi="宋体"/>
          <w:bCs/>
          <w:sz w:val="24"/>
        </w:rPr>
        <w:t xml:space="preserve">13</w:t>
      </w:r>
      <w:r>
        <w:rPr>
          <w:rFonts w:ascii="宋体" w:hAnsi="宋体"/>
          <w:bCs/>
          <w:sz w:val="24"/>
        </w:rPr>
        <w:t xml:space="preserve">、</w:t>
      </w:r>
      <w:r>
        <w:rPr>
          <w:rFonts w:ascii="宋体" w:hAnsi="宋体"/>
          <w:bCs/>
          <w:sz w:val="24"/>
        </w:rPr>
        <w:t xml:space="preserve">《运作办法》：指中国证监会20</w:t>
      </w:r>
      <w:r>
        <w:rPr>
          <w:rFonts w:ascii="宋体" w:hAnsi="宋体"/>
          <w:bCs/>
          <w:sz w:val="24"/>
        </w:rPr>
        <w:t xml:space="preserve">14</w:t>
      </w:r>
      <w:r>
        <w:rPr>
          <w:rFonts w:ascii="宋体" w:hAnsi="宋体"/>
          <w:bCs/>
          <w:sz w:val="24"/>
        </w:rPr>
        <w:t xml:space="preserve">年</w:t>
      </w:r>
      <w:r>
        <w:rPr>
          <w:rFonts w:ascii="宋体" w:hAnsi="宋体"/>
          <w:bCs/>
          <w:sz w:val="24"/>
        </w:rPr>
        <w:t xml:space="preserve">7</w:t>
      </w:r>
      <w:r>
        <w:rPr>
          <w:rFonts w:ascii="宋体" w:hAnsi="宋体"/>
          <w:bCs/>
          <w:sz w:val="24"/>
        </w:rPr>
        <w:t xml:space="preserve">月</w:t>
      </w:r>
      <w:r>
        <w:rPr>
          <w:rFonts w:ascii="宋体" w:hAnsi="宋体"/>
          <w:bCs/>
          <w:sz w:val="24"/>
        </w:rPr>
        <w:t xml:space="preserve">7</w:t>
      </w:r>
      <w:r>
        <w:rPr>
          <w:rFonts w:ascii="宋体" w:hAnsi="宋体"/>
          <w:bCs/>
          <w:sz w:val="24"/>
        </w:rPr>
        <w:t xml:space="preserve">日颁布、同年</w:t>
      </w:r>
      <w:r>
        <w:rPr>
          <w:rFonts w:ascii="宋体" w:hAnsi="宋体"/>
          <w:bCs/>
          <w:sz w:val="24"/>
        </w:rPr>
        <w:t xml:space="preserve">8</w:t>
      </w:r>
      <w:r>
        <w:rPr>
          <w:rFonts w:ascii="宋体" w:hAnsi="宋体"/>
          <w:bCs/>
          <w:sz w:val="24"/>
        </w:rPr>
        <w:t xml:space="preserve">月</w:t>
      </w:r>
      <w:r>
        <w:rPr>
          <w:rFonts w:ascii="宋体" w:hAnsi="宋体"/>
          <w:bCs/>
          <w:sz w:val="24"/>
        </w:rPr>
        <w:t xml:space="preserve">8</w:t>
      </w:r>
      <w:r>
        <w:rPr>
          <w:rFonts w:ascii="宋体" w:hAnsi="宋体"/>
          <w:bCs/>
          <w:sz w:val="24"/>
        </w:rPr>
        <w:t xml:space="preserve">日实施的《</w:t>
      </w:r>
      <w:r>
        <w:rPr>
          <w:rFonts w:ascii="宋体" w:hAnsi="宋体"/>
          <w:bCs/>
          <w:sz w:val="24"/>
        </w:rPr>
        <w:t xml:space="preserve">公开募集</w:t>
      </w:r>
      <w:r>
        <w:rPr>
          <w:rFonts w:ascii="宋体" w:hAnsi="宋体"/>
          <w:bCs/>
          <w:sz w:val="24"/>
        </w:rPr>
        <w:t xml:space="preserve">证券投资基金运作管理办法》及颁布机关对其不时做出的修订</w:t>
      </w:r>
      <w:r/>
    </w:p>
    <w:p>
      <w:pPr>
        <w:pStyle w:val="369"/>
        <w:ind w:firstLine="480"/>
        <w:snapToGrid w:val="1"/>
        <w:spacing w:lineRule="auto" w:line="360"/>
        <w:rPr>
          <w:rFonts w:ascii="宋体" w:hAnsi="宋体"/>
          <w:bCs/>
          <w:sz w:val="24"/>
        </w:rPr>
      </w:pPr>
      <w:r>
        <w:rPr>
          <w:rFonts w:ascii="宋体" w:hAnsi="宋体"/>
          <w:bCs/>
          <w:sz w:val="24"/>
        </w:rPr>
        <w:t xml:space="preserve">14、《流动性</w:t>
      </w:r>
      <w:r>
        <w:rPr>
          <w:rFonts w:ascii="宋体" w:hAnsi="宋体"/>
          <w:bCs/>
          <w:sz w:val="24"/>
        </w:rPr>
        <w:t xml:space="preserve">风险管理</w:t>
      </w:r>
      <w:r>
        <w:rPr>
          <w:rFonts w:ascii="宋体" w:hAnsi="宋体"/>
          <w:bCs/>
          <w:sz w:val="24"/>
        </w:rPr>
        <w:t xml:space="preserve">规定》：指中国证监会2017年8月31日颁布、同年10月1日实施的《公开募集开放式证券投资基金流动性风险管理规定》及颁布机关对其不时做出的修订</w:t>
      </w:r>
      <w:r/>
    </w:p>
    <w:p>
      <w:pPr>
        <w:pStyle w:val="369"/>
        <w:ind w:firstLine="480"/>
        <w:snapToGrid w:val="1"/>
        <w:spacing w:lineRule="auto" w:line="360"/>
        <w:rPr>
          <w:rFonts w:ascii="宋体" w:hAnsi="宋体"/>
          <w:bCs/>
          <w:sz w:val="24"/>
        </w:rPr>
      </w:pPr>
      <w:r>
        <w:rPr>
          <w:rFonts w:ascii="宋体" w:hAnsi="宋体"/>
          <w:bCs/>
          <w:sz w:val="24"/>
        </w:rPr>
        <w:t xml:space="preserve">15</w:t>
      </w:r>
      <w:r>
        <w:rPr>
          <w:rFonts w:ascii="宋体" w:hAnsi="宋体"/>
          <w:bCs/>
          <w:sz w:val="24"/>
        </w:rPr>
        <w:t xml:space="preserve">、</w:t>
      </w:r>
      <w:r>
        <w:rPr>
          <w:rFonts w:ascii="宋体" w:hAnsi="宋体"/>
          <w:bCs/>
          <w:sz w:val="24"/>
        </w:rPr>
        <w:t xml:space="preserve">中国证监会：指中国证券监督管理委员</w:t>
      </w:r>
      <w:r>
        <w:rPr>
          <w:rFonts w:ascii="宋体" w:hAnsi="宋体"/>
          <w:bCs/>
          <w:sz w:val="24"/>
        </w:rPr>
        <w:t xml:space="preserve">会</w:t>
      </w:r>
      <w:r/>
    </w:p>
    <w:p>
      <w:pPr>
        <w:pStyle w:val="369"/>
        <w:ind w:firstLine="480"/>
        <w:snapToGrid w:val="1"/>
        <w:spacing w:lineRule="auto" w:line="360"/>
        <w:rPr>
          <w:rFonts w:ascii="宋体" w:hAnsi="宋体"/>
          <w:bCs/>
          <w:sz w:val="24"/>
        </w:rPr>
      </w:pPr>
      <w:r>
        <w:rPr>
          <w:rFonts w:ascii="宋体" w:hAnsi="宋体"/>
          <w:bCs/>
          <w:sz w:val="24"/>
        </w:rPr>
        <w:t xml:space="preserve">16</w:t>
      </w:r>
      <w:r>
        <w:rPr>
          <w:rFonts w:ascii="宋体" w:hAnsi="宋体"/>
          <w:bCs/>
          <w:sz w:val="24"/>
        </w:rPr>
        <w:t xml:space="preserve">、</w:t>
      </w:r>
      <w:r>
        <w:rPr>
          <w:rFonts w:ascii="宋体" w:hAnsi="宋体"/>
          <w:bCs/>
          <w:sz w:val="24"/>
        </w:rPr>
        <w:t xml:space="preserve">银行业监督管理机构：指中国人民银行和</w:t>
      </w:r>
      <w:r>
        <w:rPr>
          <w:rFonts w:ascii="宋体" w:hAnsi="宋体"/>
          <w:bCs/>
          <w:sz w:val="24"/>
        </w:rPr>
        <w:t xml:space="preserve">/或中国银行</w:t>
      </w:r>
      <w:r>
        <w:rPr>
          <w:rFonts w:ascii="宋体" w:hAnsi="宋体"/>
          <w:bCs/>
          <w:sz w:val="24"/>
        </w:rPr>
        <w:t xml:space="preserve">保险</w:t>
      </w:r>
      <w:r>
        <w:rPr>
          <w:rFonts w:ascii="宋体" w:hAnsi="宋体"/>
          <w:bCs/>
          <w:sz w:val="24"/>
        </w:rPr>
        <w:t xml:space="preserve">监督管理委员会</w:t>
      </w:r>
      <w:r/>
    </w:p>
    <w:p>
      <w:pPr>
        <w:pStyle w:val="369"/>
        <w:ind w:firstLine="480"/>
        <w:snapToGrid w:val="1"/>
        <w:spacing w:lineRule="auto" w:line="360"/>
        <w:rPr>
          <w:rFonts w:ascii="宋体" w:hAnsi="宋体"/>
          <w:bCs/>
          <w:sz w:val="24"/>
        </w:rPr>
      </w:pPr>
      <w:r>
        <w:rPr>
          <w:rFonts w:ascii="宋体" w:hAnsi="宋体"/>
          <w:bCs/>
          <w:sz w:val="24"/>
        </w:rPr>
        <w:t xml:space="preserve">17</w:t>
      </w:r>
      <w:r>
        <w:rPr>
          <w:rFonts w:ascii="宋体" w:hAnsi="宋体"/>
          <w:bCs/>
          <w:sz w:val="24"/>
        </w:rPr>
        <w:t xml:space="preserve">、</w:t>
      </w:r>
      <w:r>
        <w:rPr>
          <w:rFonts w:ascii="宋体" w:hAnsi="宋体"/>
          <w:bCs/>
          <w:sz w:val="24"/>
        </w:rPr>
        <w:t xml:space="preserve">合同当事人：指受</w:t>
      </w:r>
      <w:r>
        <w:rPr>
          <w:rFonts w:ascii="宋体" w:hAnsi="宋体"/>
          <w:bCs/>
          <w:sz w:val="24"/>
        </w:rPr>
        <w:t xml:space="preserve">集合计划</w:t>
      </w:r>
      <w:r>
        <w:rPr>
          <w:rFonts w:ascii="宋体" w:hAnsi="宋体"/>
          <w:bCs/>
          <w:sz w:val="24"/>
        </w:rPr>
        <w:t xml:space="preserve">合同约束，根据</w:t>
      </w:r>
      <w:r>
        <w:rPr>
          <w:rFonts w:ascii="宋体" w:hAnsi="宋体"/>
          <w:bCs/>
          <w:sz w:val="24"/>
        </w:rPr>
        <w:t xml:space="preserve">集合计划</w:t>
      </w:r>
      <w:r>
        <w:rPr>
          <w:rFonts w:ascii="宋体" w:hAnsi="宋体"/>
          <w:bCs/>
          <w:sz w:val="24"/>
        </w:rPr>
        <w:t xml:space="preserve">合同享有权利并承担义务的法律主体，包括管理人、托管人和</w:t>
      </w:r>
      <w:r>
        <w:rPr>
          <w:rFonts w:ascii="宋体" w:hAnsi="宋体"/>
          <w:bCs/>
          <w:sz w:val="24"/>
        </w:rPr>
        <w:t xml:space="preserve">集合计划份额持有人</w:t>
      </w:r>
      <w:r/>
    </w:p>
    <w:p>
      <w:pPr>
        <w:pStyle w:val="369"/>
        <w:ind w:firstLine="480"/>
        <w:snapToGrid w:val="1"/>
        <w:spacing w:lineRule="auto" w:line="360"/>
        <w:rPr>
          <w:rFonts w:ascii="宋体" w:hAnsi="宋体"/>
          <w:bCs/>
          <w:sz w:val="24"/>
        </w:rPr>
      </w:pPr>
      <w:r>
        <w:rPr>
          <w:rFonts w:ascii="宋体" w:hAnsi="宋体"/>
          <w:bCs/>
          <w:sz w:val="24"/>
        </w:rPr>
        <w:t xml:space="preserve">18</w:t>
      </w:r>
      <w:r>
        <w:rPr>
          <w:rFonts w:ascii="宋体" w:hAnsi="宋体"/>
          <w:bCs/>
          <w:sz w:val="24"/>
        </w:rPr>
        <w:t xml:space="preserve">、</w:t>
      </w:r>
      <w:r>
        <w:rPr>
          <w:rFonts w:ascii="宋体" w:hAnsi="宋体"/>
          <w:bCs/>
          <w:sz w:val="24"/>
        </w:rPr>
        <w:t xml:space="preserve">个人投资者：指依据有关法律法规规定可投资于证券投资基金的自然人</w:t>
      </w:r>
      <w:r/>
    </w:p>
    <w:p>
      <w:pPr>
        <w:pStyle w:val="369"/>
        <w:ind w:firstLine="480"/>
        <w:snapToGrid w:val="1"/>
        <w:spacing w:lineRule="auto" w:line="360"/>
        <w:rPr>
          <w:rFonts w:ascii="宋体" w:hAnsi="宋体"/>
          <w:bCs/>
          <w:sz w:val="24"/>
        </w:rPr>
      </w:pPr>
      <w:r>
        <w:rPr>
          <w:rFonts w:ascii="宋体" w:hAnsi="宋体"/>
          <w:bCs/>
          <w:sz w:val="24"/>
        </w:rPr>
        <w:t xml:space="preserve">19</w:t>
      </w:r>
      <w:r>
        <w:rPr>
          <w:rFonts w:ascii="宋体" w:hAnsi="宋体"/>
          <w:bCs/>
          <w:sz w:val="24"/>
        </w:rPr>
        <w:t xml:space="preserve">、</w:t>
      </w:r>
      <w:r>
        <w:rPr>
          <w:rFonts w:ascii="宋体" w:hAnsi="宋体"/>
          <w:bCs/>
          <w:sz w:val="24"/>
        </w:rPr>
        <w:t xml:space="preserve">机构投资者：指依法可以投资证券投资基金的、在中华人民共和国境内合法登记并存续或经有关政府部门批准设立并存续的企业法人、事业法人、社会团体或其他组织</w:t>
      </w:r>
      <w:r/>
    </w:p>
    <w:p>
      <w:pPr>
        <w:pStyle w:val="369"/>
        <w:ind w:firstLine="480"/>
        <w:snapToGrid w:val="1"/>
        <w:spacing w:lineRule="auto" w:line="360"/>
        <w:rPr>
          <w:rFonts w:ascii="宋体" w:hAnsi="宋体"/>
          <w:bCs/>
          <w:sz w:val="24"/>
        </w:rPr>
      </w:pPr>
      <w:r>
        <w:rPr>
          <w:rFonts w:ascii="宋体" w:hAnsi="宋体"/>
          <w:bCs/>
          <w:sz w:val="24"/>
        </w:rPr>
        <w:t xml:space="preserve">20</w:t>
      </w:r>
      <w:r>
        <w:rPr>
          <w:rFonts w:ascii="宋体" w:hAnsi="宋体"/>
          <w:bCs/>
          <w:sz w:val="24"/>
        </w:rPr>
        <w:t xml:space="preserve">、合格境外投资者：指符合《合格境外机构投资者和人民币合格境外机构投资者境内证券期</w:t>
      </w:r>
      <w:r>
        <w:rPr>
          <w:rFonts w:ascii="宋体" w:hAnsi="宋体"/>
          <w:bCs/>
          <w:sz w:val="24"/>
        </w:rPr>
        <w:t xml:space="preserve">货投资管理办法》（包括其不时修订）及相关法律法规规定使用</w:t>
      </w:r>
      <w:r>
        <w:rPr>
          <w:rFonts w:ascii="宋体" w:hAnsi="宋体"/>
          <w:bCs/>
          <w:sz w:val="24"/>
        </w:rPr>
        <w:t xml:space="preserve">来自</w:t>
      </w:r>
      <w:r>
        <w:rPr>
          <w:rFonts w:ascii="宋体" w:hAnsi="宋体"/>
          <w:sz w:val="24"/>
        </w:rPr>
        <w:t xml:space="preserve">境外的</w:t>
      </w:r>
      <w:r>
        <w:rPr>
          <w:rFonts w:ascii="宋体" w:hAnsi="宋体"/>
          <w:bCs/>
          <w:sz w:val="24"/>
        </w:rPr>
        <w:t xml:space="preserve">资金进行境内证券期货投资的境外</w:t>
      </w:r>
      <w:r>
        <w:rPr>
          <w:rFonts w:ascii="宋体" w:hAnsi="宋体"/>
          <w:sz w:val="24"/>
        </w:rPr>
        <w:t xml:space="preserve">机构投资者</w:t>
      </w:r>
      <w:r>
        <w:rPr>
          <w:rFonts w:ascii="宋体" w:hAnsi="宋体"/>
          <w:bCs/>
          <w:sz w:val="24"/>
        </w:rPr>
        <w:t xml:space="preserve">，包括合格境外机构投资者和</w:t>
      </w:r>
      <w:r>
        <w:rPr>
          <w:rFonts w:ascii="宋体" w:hAnsi="宋体"/>
          <w:sz w:val="24"/>
        </w:rPr>
        <w:t xml:space="preserve">人民币合格境外机构投资者</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1</w:t>
      </w:r>
      <w:r>
        <w:rPr>
          <w:rFonts w:ascii="宋体" w:hAnsi="宋体"/>
          <w:bCs/>
          <w:sz w:val="24"/>
        </w:rPr>
        <w:t xml:space="preserve">、</w:t>
      </w:r>
      <w:r>
        <w:rPr>
          <w:rFonts w:ascii="宋体" w:hAnsi="宋体"/>
          <w:bCs/>
          <w:sz w:val="24"/>
        </w:rPr>
        <w:t xml:space="preserve">投资人</w:t>
      </w:r>
      <w:r>
        <w:rPr>
          <w:rFonts w:ascii="宋体" w:hAnsi="宋体"/>
          <w:bCs/>
          <w:sz w:val="24"/>
        </w:rPr>
        <w:t xml:space="preserve">、投资者</w:t>
      </w:r>
      <w:r>
        <w:rPr>
          <w:rFonts w:ascii="宋体" w:hAnsi="宋体"/>
          <w:bCs/>
          <w:sz w:val="24"/>
        </w:rPr>
        <w:t xml:space="preserve">：指个人投资者、机构投资者</w:t>
      </w:r>
      <w:r>
        <w:rPr>
          <w:rFonts w:ascii="宋体" w:hAnsi="宋体"/>
          <w:bCs/>
          <w:sz w:val="24"/>
        </w:rPr>
        <w:t xml:space="preserve">、</w:t>
      </w:r>
      <w:r>
        <w:rPr>
          <w:rFonts w:ascii="宋体" w:hAnsi="宋体"/>
          <w:bCs/>
          <w:sz w:val="24"/>
        </w:rPr>
        <w:t xml:space="preserve">合格境外机构投资者</w:t>
      </w:r>
      <w:r>
        <w:rPr>
          <w:rFonts w:ascii="宋体" w:hAnsi="宋体"/>
          <w:bCs/>
          <w:sz w:val="24"/>
        </w:rPr>
        <w:t xml:space="preserve">和人民币合格境外机构投资者</w:t>
      </w:r>
      <w:r>
        <w:rPr>
          <w:rFonts w:ascii="宋体" w:hAnsi="宋体"/>
          <w:bCs/>
          <w:sz w:val="24"/>
        </w:rPr>
        <w:t xml:space="preserve">以及法律法规或中国证监会允许购买证券投资基金的其他投资人的合称</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2</w:t>
      </w:r>
      <w:r>
        <w:rPr>
          <w:rFonts w:ascii="宋体" w:hAnsi="宋体"/>
          <w:bCs/>
          <w:sz w:val="24"/>
        </w:rPr>
        <w:t xml:space="preserve">、集合计划</w:t>
      </w:r>
      <w:r>
        <w:rPr>
          <w:rFonts w:ascii="宋体" w:hAnsi="宋体"/>
          <w:bCs/>
          <w:sz w:val="24"/>
        </w:rPr>
        <w:t xml:space="preserve">份额持有人：指依</w:t>
      </w:r>
      <w:r>
        <w:rPr>
          <w:rFonts w:ascii="宋体" w:hAnsi="宋体"/>
          <w:bCs/>
          <w:sz w:val="24"/>
        </w:rPr>
        <w:t xml:space="preserve">集合计划</w:t>
      </w:r>
      <w:r>
        <w:rPr>
          <w:rFonts w:ascii="宋体" w:hAnsi="宋体"/>
          <w:bCs/>
          <w:sz w:val="24"/>
        </w:rPr>
        <w:t xml:space="preserve">合同和招募说明书合法取得</w:t>
      </w:r>
      <w:r>
        <w:rPr>
          <w:rFonts w:ascii="宋体" w:hAnsi="宋体"/>
          <w:bCs/>
          <w:sz w:val="24"/>
        </w:rPr>
        <w:t xml:space="preserve">集合计划</w:t>
      </w:r>
      <w:r>
        <w:rPr>
          <w:rFonts w:ascii="宋体" w:hAnsi="宋体"/>
          <w:bCs/>
          <w:sz w:val="24"/>
        </w:rPr>
        <w:t xml:space="preserve">份额的投资人</w:t>
      </w:r>
      <w:r/>
    </w:p>
    <w:p>
      <w:pPr>
        <w:pStyle w:val="369"/>
        <w:ind w:firstLine="480"/>
        <w:snapToGrid w:val="1"/>
        <w:spacing w:lineRule="auto" w:line="360"/>
        <w:rPr>
          <w:rFonts w:ascii="宋体" w:hAnsi="宋体"/>
          <w:bCs/>
          <w:sz w:val="24"/>
        </w:rPr>
      </w:pPr>
      <w:r>
        <w:rPr>
          <w:rFonts w:ascii="宋体" w:hAnsi="宋体"/>
          <w:bCs/>
          <w:sz w:val="24"/>
        </w:rPr>
        <w:t xml:space="preserve">23</w:t>
      </w:r>
      <w:r>
        <w:rPr>
          <w:rFonts w:ascii="宋体" w:hAnsi="宋体"/>
          <w:bCs/>
          <w:sz w:val="24"/>
        </w:rPr>
        <w:t xml:space="preserve">、</w:t>
      </w:r>
      <w:r>
        <w:rPr>
          <w:rFonts w:ascii="宋体" w:hAnsi="宋体"/>
          <w:bCs/>
          <w:sz w:val="24"/>
        </w:rPr>
        <w:t xml:space="preserve">集合计划销售业务：指管理人或销售机构宣传推介</w:t>
      </w:r>
      <w:r>
        <w:rPr>
          <w:rFonts w:ascii="宋体" w:hAnsi="宋体"/>
          <w:bCs/>
          <w:sz w:val="24"/>
        </w:rPr>
        <w:t xml:space="preserve">集合计划</w:t>
      </w:r>
      <w:r>
        <w:rPr>
          <w:rFonts w:ascii="宋体" w:hAnsi="宋体"/>
          <w:bCs/>
          <w:sz w:val="24"/>
        </w:rPr>
        <w:t xml:space="preserve">，办理</w:t>
      </w:r>
      <w:r>
        <w:rPr>
          <w:rFonts w:ascii="宋体" w:hAnsi="宋体"/>
          <w:bCs/>
          <w:sz w:val="24"/>
        </w:rPr>
        <w:t xml:space="preserve">集合计划</w:t>
      </w:r>
      <w:r>
        <w:rPr>
          <w:rFonts w:ascii="宋体" w:hAnsi="宋体"/>
          <w:bCs/>
          <w:sz w:val="24"/>
        </w:rPr>
        <w:t xml:space="preserve">份额的申购、赎回、转换、转托管及定期定额投</w:t>
      </w:r>
      <w:r>
        <w:rPr>
          <w:rFonts w:ascii="宋体" w:hAnsi="宋体"/>
          <w:bCs/>
          <w:sz w:val="24"/>
        </w:rPr>
        <w:t xml:space="preserve">资等业务</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24</w:t>
      </w:r>
      <w:r>
        <w:rPr>
          <w:rFonts w:ascii="宋体" w:hAnsi="宋体"/>
          <w:bCs/>
          <w:sz w:val="24"/>
        </w:rPr>
        <w:t xml:space="preserve">、</w:t>
      </w:r>
      <w:r>
        <w:rPr>
          <w:rFonts w:ascii="宋体" w:hAnsi="宋体"/>
          <w:bCs/>
          <w:sz w:val="24"/>
        </w:rPr>
        <w:t xml:space="preserve">销售机构：指</w:t>
      </w:r>
      <w:r>
        <w:rPr>
          <w:rFonts w:ascii="宋体" w:hAnsi="宋体"/>
          <w:bCs/>
          <w:sz w:val="24"/>
        </w:rPr>
        <w:t xml:space="preserve">东海证券股份有限公司</w:t>
      </w:r>
      <w:r>
        <w:rPr>
          <w:rFonts w:ascii="宋体" w:hAnsi="宋体"/>
          <w:bCs/>
          <w:sz w:val="24"/>
        </w:rPr>
        <w:t xml:space="preserve">以及符合《销售办法》和中国证监会规定的其他条件，取得基金</w:t>
      </w:r>
      <w:r>
        <w:rPr>
          <w:rFonts w:ascii="宋体" w:hAnsi="宋体"/>
          <w:bCs/>
          <w:sz w:val="24"/>
        </w:rPr>
        <w:t xml:space="preserve">销售</w:t>
      </w:r>
      <w:r>
        <w:rPr>
          <w:rFonts w:ascii="宋体" w:hAnsi="宋体"/>
          <w:bCs/>
          <w:sz w:val="24"/>
        </w:rPr>
        <w:t xml:space="preserve">业务资格并与管理人签订了</w:t>
      </w:r>
      <w:r>
        <w:rPr>
          <w:rFonts w:ascii="宋体" w:hAnsi="宋体"/>
          <w:bCs/>
          <w:sz w:val="24"/>
        </w:rPr>
        <w:t xml:space="preserve">集合计划</w:t>
      </w:r>
      <w:r>
        <w:rPr>
          <w:rFonts w:ascii="宋体" w:hAnsi="宋体"/>
          <w:bCs/>
          <w:sz w:val="24"/>
        </w:rPr>
        <w:t xml:space="preserve">销售服务协议，办理</w:t>
      </w:r>
      <w:r>
        <w:rPr>
          <w:rFonts w:ascii="宋体" w:hAnsi="宋体"/>
          <w:bCs/>
          <w:sz w:val="24"/>
        </w:rPr>
        <w:t xml:space="preserve">集合计划</w:t>
      </w:r>
      <w:r>
        <w:rPr>
          <w:rFonts w:ascii="宋体" w:hAnsi="宋体"/>
          <w:bCs/>
          <w:sz w:val="24"/>
        </w:rPr>
        <w:t xml:space="preserve">销售业务的机构</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5</w:t>
      </w:r>
      <w:r>
        <w:rPr>
          <w:rFonts w:ascii="宋体" w:hAnsi="宋体"/>
          <w:bCs/>
          <w:sz w:val="24"/>
        </w:rPr>
        <w:t xml:space="preserve">、</w:t>
      </w:r>
      <w:r>
        <w:rPr>
          <w:rFonts w:ascii="宋体" w:hAnsi="宋体"/>
          <w:bCs/>
          <w:sz w:val="24"/>
        </w:rPr>
        <w:t xml:space="preserve">登记业务：指</w:t>
      </w:r>
      <w:r>
        <w:rPr>
          <w:rFonts w:ascii="宋体" w:hAnsi="宋体"/>
          <w:bCs/>
          <w:sz w:val="24"/>
        </w:rPr>
        <w:t xml:space="preserve">集合计划</w:t>
      </w:r>
      <w:r>
        <w:rPr>
          <w:rFonts w:ascii="宋体" w:hAnsi="宋体"/>
          <w:bCs/>
          <w:sz w:val="24"/>
        </w:rPr>
        <w:t xml:space="preserve">登记、存管、过户、清算和结算业务，具体内容包括投资人</w:t>
      </w:r>
      <w:r>
        <w:rPr>
          <w:rFonts w:ascii="宋体" w:hAnsi="宋体"/>
          <w:bCs/>
          <w:sz w:val="24"/>
        </w:rPr>
        <w:t xml:space="preserve">集合计划</w:t>
      </w:r>
      <w:r>
        <w:rPr>
          <w:rFonts w:ascii="宋体" w:hAnsi="宋体"/>
          <w:bCs/>
          <w:sz w:val="24"/>
        </w:rPr>
        <w:t xml:space="preserve">账户的建立和管理、</w:t>
      </w:r>
      <w:r>
        <w:rPr>
          <w:rFonts w:ascii="宋体" w:hAnsi="宋体"/>
          <w:bCs/>
          <w:sz w:val="24"/>
        </w:rPr>
        <w:t xml:space="preserve">集合计划</w:t>
      </w:r>
      <w:r>
        <w:rPr>
          <w:rFonts w:ascii="宋体" w:hAnsi="宋体"/>
          <w:bCs/>
          <w:sz w:val="24"/>
        </w:rPr>
        <w:t xml:space="preserve">份额登记、</w:t>
      </w:r>
      <w:r>
        <w:rPr>
          <w:rFonts w:ascii="宋体" w:hAnsi="宋体"/>
          <w:bCs/>
          <w:sz w:val="24"/>
        </w:rPr>
        <w:t xml:space="preserve">集合计划</w:t>
      </w:r>
      <w:r>
        <w:rPr>
          <w:rFonts w:ascii="宋体" w:hAnsi="宋体"/>
          <w:bCs/>
          <w:sz w:val="24"/>
        </w:rPr>
        <w:t xml:space="preserve">销售业务的确认、清算和结算、代理发放红利、建立并保管集合计划份额持有人名册</w:t>
      </w:r>
      <w:r>
        <w:rPr>
          <w:rFonts w:ascii="宋体" w:hAnsi="宋体"/>
          <w:bCs/>
          <w:sz w:val="24"/>
        </w:rPr>
        <w:t xml:space="preserve">和办理非交易过户</w:t>
      </w:r>
      <w:r>
        <w:rPr>
          <w:rFonts w:ascii="宋体" w:hAnsi="宋体"/>
          <w:bCs/>
          <w:sz w:val="24"/>
        </w:rPr>
        <w:t xml:space="preserve">等</w:t>
      </w:r>
      <w:r/>
    </w:p>
    <w:p>
      <w:pPr>
        <w:pStyle w:val="369"/>
        <w:ind w:firstLine="480"/>
        <w:snapToGrid w:val="1"/>
        <w:spacing w:lineRule="auto" w:line="360"/>
        <w:rPr>
          <w:rFonts w:ascii="宋体" w:hAnsi="宋体"/>
          <w:bCs/>
          <w:sz w:val="24"/>
        </w:rPr>
      </w:pPr>
      <w:r>
        <w:rPr>
          <w:rFonts w:ascii="宋体" w:hAnsi="宋体"/>
          <w:bCs/>
          <w:sz w:val="24"/>
        </w:rPr>
        <w:t xml:space="preserve">26</w:t>
      </w:r>
      <w:r>
        <w:rPr>
          <w:rFonts w:ascii="宋体" w:hAnsi="宋体"/>
          <w:bCs/>
          <w:sz w:val="24"/>
        </w:rPr>
        <w:t xml:space="preserve">、</w:t>
      </w:r>
      <w:r>
        <w:rPr>
          <w:rFonts w:ascii="宋体" w:hAnsi="宋体"/>
          <w:bCs/>
          <w:sz w:val="24"/>
        </w:rPr>
        <w:t xml:space="preserve">登记机构：指办理登记业务的机构。</w:t>
      </w:r>
      <w:r>
        <w:rPr>
          <w:rFonts w:ascii="宋体" w:hAnsi="宋体"/>
          <w:bCs/>
          <w:sz w:val="24"/>
        </w:rPr>
        <w:t xml:space="preserve">集合计划</w:t>
      </w:r>
      <w:r>
        <w:rPr>
          <w:rFonts w:ascii="宋体" w:hAnsi="宋体"/>
          <w:bCs/>
          <w:sz w:val="24"/>
        </w:rPr>
        <w:t xml:space="preserve">的登记机构为</w:t>
      </w:r>
      <w:r>
        <w:rPr>
          <w:rFonts w:ascii="宋体" w:hAnsi="宋体"/>
          <w:bCs/>
          <w:sz w:val="24"/>
        </w:rPr>
        <w:t xml:space="preserve">中国证券登记结算有限责任公司</w:t>
      </w:r>
      <w:r>
        <w:rPr>
          <w:rFonts w:ascii="宋体" w:hAnsi="宋体"/>
          <w:bCs/>
          <w:sz w:val="24"/>
        </w:rPr>
        <w:t xml:space="preserve">或接受</w:t>
      </w:r>
      <w:r>
        <w:rPr>
          <w:rFonts w:ascii="宋体" w:hAnsi="宋体"/>
          <w:bCs/>
          <w:sz w:val="24"/>
        </w:rPr>
        <w:t xml:space="preserve">东海证券股份有</w:t>
      </w:r>
      <w:r>
        <w:rPr>
          <w:rFonts w:ascii="宋体" w:hAnsi="宋体"/>
          <w:bCs/>
          <w:sz w:val="24"/>
        </w:rPr>
        <w:t xml:space="preserve">限公司</w:t>
      </w:r>
      <w:r>
        <w:rPr>
          <w:rFonts w:ascii="宋体" w:hAnsi="宋体"/>
          <w:bCs/>
          <w:sz w:val="24"/>
        </w:rPr>
        <w:t xml:space="preserve">委托代为办理登记业务的机构</w:t>
      </w:r>
      <w:r/>
    </w:p>
    <w:p>
      <w:pPr>
        <w:pStyle w:val="369"/>
        <w:ind w:firstLine="480"/>
        <w:snapToGrid w:val="1"/>
        <w:spacing w:lineRule="auto" w:line="360"/>
        <w:rPr>
          <w:rFonts w:ascii="宋体" w:hAnsi="宋体"/>
          <w:bCs/>
          <w:sz w:val="24"/>
        </w:rPr>
      </w:pPr>
      <w:r>
        <w:rPr>
          <w:rFonts w:ascii="宋体" w:hAnsi="宋体"/>
          <w:bCs/>
          <w:sz w:val="24"/>
        </w:rPr>
        <w:t xml:space="preserve">27</w:t>
      </w:r>
      <w:r>
        <w:rPr>
          <w:rFonts w:ascii="宋体" w:hAnsi="宋体"/>
          <w:bCs/>
          <w:sz w:val="24"/>
        </w:rPr>
        <w:t xml:space="preserve">、集合计划</w:t>
      </w:r>
      <w:r>
        <w:rPr>
          <w:rFonts w:ascii="宋体" w:hAnsi="宋体"/>
          <w:bCs/>
          <w:sz w:val="24"/>
        </w:rPr>
        <w:t xml:space="preserve">账户：指登记机构为投资人开立的、记录其持有的、管理人所管理的</w:t>
      </w:r>
      <w:r>
        <w:rPr>
          <w:rFonts w:ascii="宋体" w:hAnsi="宋体"/>
          <w:bCs/>
          <w:sz w:val="24"/>
        </w:rPr>
        <w:t xml:space="preserve">集合计划</w:t>
      </w:r>
      <w:r>
        <w:rPr>
          <w:rFonts w:ascii="宋体" w:hAnsi="宋体"/>
          <w:bCs/>
          <w:sz w:val="24"/>
        </w:rPr>
        <w:t xml:space="preserve">份额余额及其变动情况的账户</w:t>
      </w:r>
      <w:r/>
    </w:p>
    <w:p>
      <w:pPr>
        <w:pStyle w:val="369"/>
        <w:ind w:firstLine="480"/>
        <w:snapToGrid w:val="1"/>
        <w:spacing w:lineRule="auto" w:line="360"/>
        <w:rPr>
          <w:rFonts w:ascii="宋体" w:hAnsi="宋体"/>
          <w:bCs/>
          <w:sz w:val="24"/>
        </w:rPr>
      </w:pPr>
      <w:r>
        <w:rPr>
          <w:rFonts w:ascii="宋体" w:hAnsi="宋体"/>
          <w:bCs/>
          <w:sz w:val="24"/>
        </w:rPr>
        <w:t xml:space="preserve">28</w:t>
      </w:r>
      <w:r>
        <w:rPr>
          <w:rFonts w:ascii="宋体" w:hAnsi="宋体"/>
          <w:bCs/>
          <w:sz w:val="24"/>
        </w:rPr>
        <w:t xml:space="preserve">、集合计划</w:t>
      </w:r>
      <w:r>
        <w:rPr>
          <w:rFonts w:ascii="宋体" w:hAnsi="宋体"/>
          <w:bCs/>
          <w:sz w:val="24"/>
        </w:rPr>
        <w:t xml:space="preserve">交易账户：指销售机构为投资人开立的、记录投资人通过该销售机构办理申购、赎回等业务而引起的</w:t>
      </w:r>
      <w:r>
        <w:rPr>
          <w:rFonts w:ascii="宋体" w:hAnsi="宋体"/>
          <w:bCs/>
          <w:sz w:val="24"/>
        </w:rPr>
        <w:t xml:space="preserve">集合计划</w:t>
      </w:r>
      <w:r>
        <w:rPr>
          <w:rFonts w:ascii="宋体" w:hAnsi="宋体"/>
          <w:bCs/>
          <w:sz w:val="24"/>
        </w:rPr>
        <w:t xml:space="preserve">份额变动及结余情况的账户</w:t>
      </w:r>
      <w:r/>
    </w:p>
    <w:p>
      <w:pPr>
        <w:pStyle w:val="369"/>
        <w:ind w:firstLine="480"/>
        <w:snapToGrid w:val="1"/>
        <w:spacing w:lineRule="auto" w:line="360"/>
        <w:rPr>
          <w:rFonts w:ascii="宋体" w:hAnsi="宋体"/>
          <w:bCs/>
          <w:sz w:val="24"/>
        </w:rPr>
      </w:pPr>
      <w:r>
        <w:rPr>
          <w:rFonts w:ascii="宋体" w:hAnsi="宋体"/>
          <w:bCs/>
          <w:sz w:val="24"/>
        </w:rPr>
        <w:t xml:space="preserve">29</w:t>
      </w:r>
      <w:r>
        <w:rPr>
          <w:rFonts w:ascii="宋体" w:hAnsi="宋体"/>
          <w:bCs/>
          <w:sz w:val="24"/>
        </w:rPr>
        <w:t xml:space="preserve">、集合</w:t>
      </w:r>
      <w:r>
        <w:rPr>
          <w:rFonts w:ascii="宋体" w:hAnsi="宋体"/>
          <w:bCs/>
          <w:sz w:val="24"/>
        </w:rPr>
        <w:t xml:space="preserve">计划合同生效日：指</w:t>
      </w:r>
      <w:r>
        <w:rPr>
          <w:rFonts w:ascii="宋体" w:hAnsi="宋体"/>
          <w:bCs/>
          <w:sz w:val="24"/>
        </w:rPr>
        <w:t xml:space="preserve">《东海证券海盈3个月持有期混合型集合资产管理计划资产管理</w:t>
      </w:r>
      <w:r>
        <w:rPr>
          <w:rFonts w:ascii="宋体" w:hAnsi="宋体"/>
          <w:bCs/>
          <w:sz w:val="24"/>
        </w:rPr>
        <w:t xml:space="preserve">合同</w:t>
      </w:r>
      <w:r>
        <w:rPr>
          <w:rFonts w:ascii="宋体" w:hAnsi="宋体"/>
          <w:bCs/>
          <w:sz w:val="24"/>
        </w:rPr>
        <w:t xml:space="preserve">》生效之日，《东海证券东风9号集合资产管理计划合同》同日失效</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0</w:t>
      </w:r>
      <w:r>
        <w:rPr>
          <w:rFonts w:ascii="宋体" w:hAnsi="宋体"/>
          <w:bCs/>
          <w:sz w:val="24"/>
        </w:rPr>
        <w:t xml:space="preserve">、集合计划</w:t>
      </w:r>
      <w:r>
        <w:rPr>
          <w:rFonts w:ascii="宋体" w:hAnsi="宋体"/>
          <w:bCs/>
          <w:sz w:val="24"/>
        </w:rPr>
        <w:t xml:space="preserve">合同终止日：指</w:t>
      </w:r>
      <w:r>
        <w:rPr>
          <w:rFonts w:ascii="宋体" w:hAnsi="宋体"/>
          <w:bCs/>
          <w:sz w:val="24"/>
        </w:rPr>
        <w:t xml:space="preserve">集合</w:t>
      </w:r>
      <w:r>
        <w:rPr>
          <w:rFonts w:ascii="宋体" w:hAnsi="宋体"/>
          <w:bCs/>
          <w:sz w:val="24"/>
        </w:rPr>
        <w:t xml:space="preserve">计划合同规定的</w:t>
      </w:r>
      <w:r>
        <w:rPr>
          <w:rFonts w:ascii="宋体" w:hAnsi="宋体"/>
          <w:bCs/>
          <w:sz w:val="24"/>
        </w:rPr>
        <w:t xml:space="preserve">集合</w:t>
      </w:r>
      <w:r>
        <w:rPr>
          <w:rFonts w:ascii="宋体" w:hAnsi="宋体"/>
          <w:bCs/>
          <w:sz w:val="24"/>
        </w:rPr>
        <w:t xml:space="preserve">计划合同终止事由出现后，</w:t>
      </w:r>
      <w:r>
        <w:rPr>
          <w:rFonts w:ascii="宋体" w:hAnsi="宋体"/>
          <w:bCs/>
          <w:sz w:val="24"/>
        </w:rPr>
        <w:t xml:space="preserve">集合计划</w:t>
      </w:r>
      <w:r>
        <w:rPr>
          <w:rFonts w:ascii="宋体" w:hAnsi="宋体"/>
          <w:bCs/>
          <w:sz w:val="24"/>
        </w:rPr>
        <w:t xml:space="preserve">财产清算完毕，清算结果报中国证监会备案并予以公告的日期</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1</w:t>
      </w:r>
      <w:r>
        <w:rPr>
          <w:rFonts w:ascii="宋体" w:hAnsi="宋体"/>
          <w:bCs/>
          <w:sz w:val="24"/>
        </w:rPr>
        <w:t xml:space="preserve">、</w:t>
      </w:r>
      <w:r>
        <w:rPr>
          <w:rFonts w:ascii="宋体" w:hAnsi="宋体"/>
          <w:bCs/>
          <w:sz w:val="24"/>
        </w:rPr>
        <w:t xml:space="preserve">存续期：指</w:t>
      </w:r>
      <w:r>
        <w:rPr>
          <w:rFonts w:ascii="宋体" w:hAnsi="宋体"/>
          <w:bCs/>
          <w:sz w:val="24"/>
        </w:rPr>
        <w:t xml:space="preserve">《东海证券东风9号集合资产管理计划合同》</w:t>
      </w:r>
      <w:r>
        <w:rPr>
          <w:rFonts w:ascii="宋体" w:hAnsi="宋体"/>
          <w:bCs/>
          <w:sz w:val="24"/>
        </w:rPr>
        <w:t xml:space="preserve">生效至</w:t>
      </w:r>
      <w:r>
        <w:rPr>
          <w:rFonts w:ascii="宋体" w:hAnsi="宋体"/>
          <w:bCs/>
          <w:sz w:val="24"/>
        </w:rPr>
        <w:t xml:space="preserve">本合同</w:t>
      </w:r>
      <w:r>
        <w:rPr>
          <w:rFonts w:ascii="宋体" w:hAnsi="宋体"/>
          <w:bCs/>
          <w:sz w:val="24"/>
        </w:rPr>
        <w:t xml:space="preserve">终止之间的期限</w:t>
      </w:r>
      <w:r/>
    </w:p>
    <w:p>
      <w:pPr>
        <w:pStyle w:val="369"/>
        <w:ind w:firstLine="480"/>
        <w:snapToGrid w:val="1"/>
        <w:spacing w:lineRule="auto" w:line="360"/>
        <w:rPr>
          <w:rFonts w:ascii="宋体" w:hAnsi="宋体"/>
          <w:bCs/>
          <w:sz w:val="24"/>
        </w:rPr>
      </w:pPr>
      <w:r>
        <w:rPr>
          <w:rFonts w:ascii="宋体" w:hAnsi="宋体"/>
          <w:bCs/>
          <w:sz w:val="24"/>
        </w:rPr>
        <w:t xml:space="preserve">32</w:t>
      </w:r>
      <w:r>
        <w:rPr>
          <w:rFonts w:ascii="宋体" w:hAnsi="宋体"/>
          <w:bCs/>
          <w:sz w:val="24"/>
        </w:rPr>
        <w:t xml:space="preserve">、</w:t>
      </w:r>
      <w:r>
        <w:rPr>
          <w:rFonts w:ascii="宋体" w:hAnsi="宋体"/>
          <w:bCs/>
          <w:sz w:val="24"/>
        </w:rPr>
        <w:t xml:space="preserve">工作日：指上海证券交易所、深圳证券交易所的正常交易日</w:t>
      </w:r>
      <w:r/>
    </w:p>
    <w:p>
      <w:pPr>
        <w:pStyle w:val="369"/>
        <w:ind w:firstLine="480"/>
        <w:snapToGrid w:val="1"/>
        <w:spacing w:lineRule="auto" w:line="360"/>
        <w:rPr>
          <w:rFonts w:ascii="宋体" w:hAnsi="宋体"/>
          <w:bCs/>
          <w:sz w:val="24"/>
        </w:rPr>
      </w:pPr>
      <w:r>
        <w:rPr>
          <w:rFonts w:ascii="宋体" w:hAnsi="宋体"/>
          <w:bCs/>
          <w:sz w:val="24"/>
        </w:rPr>
        <w:t xml:space="preserve">33</w:t>
      </w:r>
      <w:r>
        <w:rPr>
          <w:rFonts w:ascii="宋体" w:hAnsi="宋体"/>
          <w:bCs/>
          <w:sz w:val="24"/>
        </w:rPr>
        <w:t xml:space="preserve">、</w:t>
      </w:r>
      <w:r>
        <w:rPr>
          <w:rFonts w:ascii="宋体" w:hAnsi="宋体"/>
          <w:bCs/>
          <w:sz w:val="24"/>
        </w:rPr>
        <w:t xml:space="preserve">T日：指销售机构在规定时间受理投资人申购、赎回或其他业务申请的开放日</w:t>
      </w:r>
      <w:r/>
    </w:p>
    <w:p>
      <w:pPr>
        <w:pStyle w:val="369"/>
        <w:ind w:firstLine="480"/>
        <w:snapToGrid w:val="1"/>
        <w:spacing w:lineRule="auto" w:line="360"/>
        <w:rPr>
          <w:rFonts w:ascii="宋体" w:hAnsi="宋体"/>
          <w:bCs/>
          <w:color w:val="000000"/>
          <w:sz w:val="24"/>
        </w:rPr>
      </w:pPr>
      <w:r>
        <w:rPr>
          <w:rFonts w:ascii="宋体" w:hAnsi="宋体"/>
          <w:bCs/>
          <w:sz w:val="24"/>
        </w:rPr>
        <w:t xml:space="preserve">34</w:t>
      </w:r>
      <w:r>
        <w:rPr>
          <w:rFonts w:ascii="宋体" w:hAnsi="宋体"/>
          <w:bCs/>
          <w:sz w:val="24"/>
        </w:rPr>
        <w:t xml:space="preserve">、</w:t>
      </w:r>
      <w:r>
        <w:rPr>
          <w:rFonts w:ascii="宋体" w:hAnsi="宋体"/>
          <w:bCs/>
          <w:sz w:val="24"/>
        </w:rPr>
        <w:t xml:space="preserve">T+n日：指自T日起第n个工作日(不包含T日)</w:t>
      </w:r>
      <w:r>
        <w:rPr>
          <w:rFonts w:ascii="宋体" w:hAnsi="宋体"/>
          <w:bCs/>
          <w:color w:val="000000"/>
          <w:sz w:val="24"/>
        </w:rPr>
      </w:r>
      <w:r/>
    </w:p>
    <w:p>
      <w:pPr>
        <w:pStyle w:val="369"/>
        <w:ind w:firstLine="480"/>
        <w:snapToGrid w:val="1"/>
        <w:spacing w:lineRule="auto" w:line="360"/>
        <w:rPr>
          <w:rFonts w:ascii="宋体" w:hAnsi="宋体"/>
          <w:bCs/>
          <w:sz w:val="24"/>
        </w:rPr>
      </w:pPr>
      <w:r>
        <w:rPr>
          <w:rFonts w:ascii="宋体" w:hAnsi="宋体"/>
          <w:bCs/>
          <w:sz w:val="24"/>
        </w:rPr>
        <w:t xml:space="preserve">35、</w:t>
      </w:r>
      <w:r>
        <w:rPr>
          <w:rFonts w:ascii="宋体" w:hAnsi="宋体"/>
          <w:bCs/>
          <w:sz w:val="24"/>
        </w:rPr>
        <w:t xml:space="preserve">开放日：指为投资人办理</w:t>
      </w:r>
      <w:r>
        <w:rPr>
          <w:rFonts w:ascii="宋体" w:hAnsi="宋体"/>
          <w:bCs/>
          <w:sz w:val="24"/>
        </w:rPr>
        <w:t xml:space="preserve">集合计划</w:t>
      </w:r>
      <w:r>
        <w:rPr>
          <w:rFonts w:ascii="宋体" w:hAnsi="宋体"/>
          <w:bCs/>
          <w:sz w:val="24"/>
        </w:rPr>
        <w:t xml:space="preserve">份额申购、赎回或其他业务的工作日</w:t>
      </w:r>
      <w:r/>
    </w:p>
    <w:p>
      <w:pPr>
        <w:pStyle w:val="369"/>
        <w:ind w:firstLine="480"/>
        <w:snapToGrid w:val="1"/>
        <w:spacing w:lineRule="auto" w:line="360"/>
        <w:rPr>
          <w:rFonts w:ascii="宋体" w:hAnsi="宋体"/>
          <w:bCs/>
          <w:sz w:val="24"/>
        </w:rPr>
      </w:pPr>
      <w:r>
        <w:rPr>
          <w:rFonts w:ascii="宋体" w:hAnsi="宋体"/>
          <w:bCs/>
          <w:sz w:val="24"/>
        </w:rPr>
        <w:t xml:space="preserve">36、</w:t>
      </w:r>
      <w:r>
        <w:rPr>
          <w:rFonts w:ascii="宋体" w:hAnsi="宋体"/>
          <w:bCs/>
          <w:sz w:val="24"/>
        </w:rPr>
        <w:t xml:space="preserve">开放时间：指开放日</w:t>
      </w:r>
      <w:r>
        <w:rPr>
          <w:rFonts w:ascii="宋体" w:hAnsi="宋体"/>
          <w:bCs/>
          <w:sz w:val="24"/>
        </w:rPr>
        <w:t xml:space="preserve">集合计划</w:t>
      </w:r>
      <w:r>
        <w:rPr>
          <w:rFonts w:ascii="宋体" w:hAnsi="宋体"/>
          <w:bCs/>
          <w:sz w:val="24"/>
        </w:rPr>
        <w:t xml:space="preserve">接受申购、赎回或其他交易的时间段</w:t>
      </w:r>
      <w:r/>
    </w:p>
    <w:p>
      <w:pPr>
        <w:pStyle w:val="369"/>
        <w:ind w:firstLine="480"/>
        <w:snapToGrid w:val="1"/>
        <w:spacing w:lineRule="auto" w:line="360"/>
        <w:rPr>
          <w:rFonts w:ascii="宋体" w:hAnsi="宋体"/>
          <w:bCs/>
          <w:sz w:val="24"/>
        </w:rPr>
      </w:pPr>
      <w:r>
        <w:rPr>
          <w:rFonts w:ascii="宋体" w:hAnsi="宋体"/>
          <w:bCs/>
          <w:sz w:val="24"/>
        </w:rPr>
        <w:t xml:space="preserve">37、</w:t>
      </w:r>
      <w:r>
        <w:rPr>
          <w:rFonts w:ascii="宋体" w:hAnsi="宋体"/>
          <w:bCs/>
          <w:sz w:val="24"/>
        </w:rPr>
        <w:t xml:space="preserve">《业务规则》：指</w:t>
      </w:r>
      <w:r>
        <w:rPr>
          <w:rFonts w:ascii="宋体" w:hAnsi="宋体"/>
          <w:bCs/>
          <w:sz w:val="24"/>
        </w:rPr>
        <w:t xml:space="preserve">中国证券登记结算有限责任</w:t>
      </w:r>
      <w:r>
        <w:rPr>
          <w:rFonts w:ascii="宋体" w:hAnsi="宋体"/>
          <w:bCs/>
          <w:sz w:val="24"/>
        </w:rPr>
        <w:t xml:space="preserve">公司相关业务规则及其不时做出的修订，</w:t>
      </w:r>
      <w:r>
        <w:rPr>
          <w:rFonts w:ascii="宋体" w:hAnsi="宋体"/>
          <w:bCs/>
          <w:sz w:val="24"/>
        </w:rPr>
        <w:t xml:space="preserve">是规范管理人所管理的</w:t>
      </w:r>
      <w:r>
        <w:rPr>
          <w:rFonts w:ascii="宋体" w:hAnsi="宋体"/>
          <w:bCs/>
          <w:sz w:val="24"/>
        </w:rPr>
        <w:t xml:space="preserve">并由中国证券登记结算有限责任公司办理登记业务的集合资产管理</w:t>
      </w:r>
      <w:r>
        <w:rPr>
          <w:rFonts w:ascii="宋体" w:hAnsi="宋体"/>
          <w:bCs/>
          <w:sz w:val="24"/>
        </w:rPr>
        <w:t xml:space="preserve">计划登记方面的业务规则</w:t>
      </w:r>
      <w:r/>
    </w:p>
    <w:p>
      <w:pPr>
        <w:pStyle w:val="369"/>
        <w:ind w:firstLine="480"/>
        <w:snapToGrid w:val="1"/>
        <w:spacing w:lineRule="auto" w:line="360"/>
        <w:rPr>
          <w:rFonts w:ascii="宋体" w:hAnsi="宋体"/>
          <w:bCs/>
          <w:sz w:val="24"/>
        </w:rPr>
      </w:pPr>
      <w:r>
        <w:rPr>
          <w:rFonts w:ascii="宋体" w:hAnsi="宋体"/>
          <w:bCs/>
          <w:sz w:val="24"/>
        </w:rPr>
        <w:t xml:space="preserve">38</w:t>
      </w:r>
      <w:r>
        <w:rPr>
          <w:rFonts w:ascii="宋体" w:hAnsi="宋体"/>
          <w:bCs/>
          <w:sz w:val="24"/>
        </w:rPr>
        <w:t xml:space="preserve">、锁定期：指本集合计划对本合同生效后申购的每份集合计划份额设置3个月的锁定期。在锁定期到期日之前（不含当日），投资者不能提出赎回申请；锁定期期满后（含锁定期到期日当日）投资者可以申请赎回。</w:t>
      </w:r>
      <w:r>
        <w:rPr>
          <w:rFonts w:ascii="宋体" w:hAnsi="宋体"/>
          <w:bCs/>
          <w:sz w:val="24"/>
        </w:rPr>
        <w:t xml:space="preserve">本集合计划对原集合计划份额转换为本集合计划的份额不设置锁定期</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39</w:t>
      </w:r>
      <w:r>
        <w:rPr>
          <w:rFonts w:ascii="宋体" w:hAnsi="宋体"/>
          <w:bCs/>
          <w:sz w:val="24"/>
        </w:rPr>
        <w:t xml:space="preserve">、锁定期起始日：指集合计划份额申购申请的确认日</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40</w:t>
      </w:r>
      <w:r>
        <w:rPr>
          <w:rFonts w:ascii="宋体" w:hAnsi="宋体"/>
          <w:bCs/>
          <w:sz w:val="24"/>
        </w:rPr>
        <w:t xml:space="preserve">、锁定期到期日：指集合计划份额锁定期起始日起3个月后的对应日，如</w:t>
      </w:r>
      <w:r>
        <w:rPr>
          <w:rFonts w:ascii="宋体" w:hAnsi="宋体"/>
          <w:bCs/>
          <w:sz w:val="24"/>
        </w:rPr>
        <w:t xml:space="preserve">无对应日或该对应日为非工作日，则顺延至下一工作日。因不可</w:t>
      </w:r>
      <w:r>
        <w:rPr>
          <w:rFonts w:ascii="宋体" w:hAnsi="宋体"/>
          <w:bCs/>
          <w:sz w:val="24"/>
        </w:rPr>
        <w:t xml:space="preserve">抗力或本合同约定的其他情形致使管理人无法在集合计划份额的锁定期到期日按时开放办理该份额的赎回业务的，集合计划份额的锁定期到期日顺延至不可抗力或本合同约定的其他情形的影响因素消除之日起的下一个工作日</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1</w:t>
      </w:r>
      <w:r>
        <w:rPr>
          <w:rFonts w:ascii="宋体" w:hAnsi="宋体"/>
          <w:bCs/>
          <w:sz w:val="24"/>
        </w:rPr>
        <w:t xml:space="preserve">、</w:t>
      </w:r>
      <w:r>
        <w:rPr>
          <w:rFonts w:ascii="宋体" w:hAnsi="宋体"/>
          <w:bCs/>
          <w:sz w:val="24"/>
        </w:rPr>
        <w:t xml:space="preserve">申购：指集合计划合同生效后，投资人根据集合计划合同和招募说明书的规定申请购买</w:t>
      </w:r>
      <w:r>
        <w:rPr>
          <w:rFonts w:ascii="宋体" w:hAnsi="宋体"/>
          <w:bCs/>
          <w:sz w:val="24"/>
        </w:rPr>
        <w:t xml:space="preserve">集合计划</w:t>
      </w:r>
      <w:r>
        <w:rPr>
          <w:rFonts w:ascii="宋体" w:hAnsi="宋体"/>
          <w:bCs/>
          <w:sz w:val="24"/>
        </w:rPr>
        <w:t xml:space="preserve">份额的行为</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2</w:t>
      </w:r>
      <w:r>
        <w:rPr>
          <w:rFonts w:ascii="宋体" w:hAnsi="宋体"/>
          <w:bCs/>
          <w:sz w:val="24"/>
        </w:rPr>
        <w:t xml:space="preserve">、</w:t>
      </w:r>
      <w:r>
        <w:rPr>
          <w:rFonts w:ascii="宋体" w:hAnsi="宋体"/>
          <w:bCs/>
          <w:sz w:val="24"/>
        </w:rPr>
        <w:t xml:space="preserve">赎回：指集合计划合同生效后，集合计划份额持有人按集合计划合同</w:t>
      </w:r>
      <w:r>
        <w:rPr>
          <w:rFonts w:ascii="宋体" w:hAnsi="宋体"/>
          <w:bCs/>
          <w:sz w:val="24"/>
        </w:rPr>
        <w:t xml:space="preserve">和招募说明书</w:t>
      </w:r>
      <w:r>
        <w:rPr>
          <w:rFonts w:ascii="宋体" w:hAnsi="宋体"/>
          <w:bCs/>
          <w:sz w:val="24"/>
        </w:rPr>
        <w:t xml:space="preserve">规定的条件要求将</w:t>
      </w:r>
      <w:r>
        <w:rPr>
          <w:rFonts w:ascii="宋体" w:hAnsi="宋体"/>
          <w:bCs/>
          <w:sz w:val="24"/>
        </w:rPr>
        <w:t xml:space="preserve">集合计划</w:t>
      </w:r>
      <w:r>
        <w:rPr>
          <w:rFonts w:ascii="宋体" w:hAnsi="宋体"/>
          <w:bCs/>
          <w:sz w:val="24"/>
        </w:rPr>
        <w:t xml:space="preserve">份额兑换为现金的行为</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3</w:t>
      </w:r>
      <w:r>
        <w:rPr>
          <w:rFonts w:ascii="宋体" w:hAnsi="宋体"/>
          <w:bCs/>
          <w:sz w:val="24"/>
        </w:rPr>
        <w:t xml:space="preserve">、集合计划</w:t>
      </w:r>
      <w:r>
        <w:rPr>
          <w:rFonts w:ascii="宋体" w:hAnsi="宋体"/>
          <w:bCs/>
          <w:sz w:val="24"/>
        </w:rPr>
        <w:t xml:space="preserve">转换：指集合计划份</w:t>
      </w:r>
      <w:r>
        <w:rPr>
          <w:rFonts w:ascii="宋体" w:hAnsi="宋体"/>
          <w:bCs/>
          <w:sz w:val="24"/>
        </w:rPr>
        <w:t xml:space="preserve">额持有人按照本合同和管理人届时有效公告规定的条件，申请将</w:t>
      </w:r>
      <w:r>
        <w:rPr>
          <w:rFonts w:ascii="宋体" w:hAnsi="宋体"/>
          <w:bCs/>
          <w:sz w:val="24"/>
        </w:rPr>
        <w:t xml:space="preserve">其持有管理人管理的、某一</w:t>
      </w:r>
      <w:r>
        <w:rPr>
          <w:rFonts w:ascii="宋体" w:hAnsi="宋体"/>
          <w:bCs/>
          <w:sz w:val="24"/>
        </w:rPr>
        <w:t xml:space="preserve">集合资产管理计划</w:t>
      </w:r>
      <w:r>
        <w:rPr>
          <w:rFonts w:ascii="宋体" w:hAnsi="宋体"/>
          <w:bCs/>
          <w:sz w:val="24"/>
        </w:rPr>
        <w:t xml:space="preserve">的份额转换为管理人管理的其他</w:t>
      </w:r>
      <w:r>
        <w:rPr>
          <w:rFonts w:ascii="宋体" w:hAnsi="宋体"/>
          <w:bCs/>
          <w:sz w:val="24"/>
        </w:rPr>
        <w:t xml:space="preserve">集合资产管理计划</w:t>
      </w:r>
      <w:r>
        <w:rPr>
          <w:rFonts w:ascii="宋体" w:hAnsi="宋体"/>
          <w:bCs/>
          <w:sz w:val="24"/>
        </w:rPr>
        <w:t xml:space="preserve">份额的行为</w:t>
      </w:r>
      <w:r/>
    </w:p>
    <w:p>
      <w:pPr>
        <w:pStyle w:val="369"/>
        <w:ind w:firstLine="480"/>
        <w:snapToGrid w:val="1"/>
        <w:spacing w:lineRule="auto" w:line="360"/>
        <w:rPr>
          <w:rFonts w:ascii="宋体" w:hAnsi="宋体"/>
          <w:bCs/>
          <w:sz w:val="24"/>
        </w:rPr>
      </w:pPr>
      <w:r>
        <w:rPr>
          <w:rFonts w:ascii="宋体" w:hAnsi="宋体"/>
          <w:bCs/>
          <w:sz w:val="24"/>
        </w:rPr>
        <w:t xml:space="preserve">44</w:t>
      </w:r>
      <w:r>
        <w:rPr>
          <w:rFonts w:ascii="宋体" w:hAnsi="宋体"/>
          <w:bCs/>
          <w:sz w:val="24"/>
        </w:rPr>
        <w:t xml:space="preserve">、</w:t>
      </w:r>
      <w:r>
        <w:rPr>
          <w:rFonts w:ascii="宋体" w:hAnsi="宋体"/>
          <w:bCs/>
          <w:sz w:val="24"/>
        </w:rPr>
        <w:t xml:space="preserve">转托管：指集合计划份额持有人在本集合计划的不同销售机构之间实施的变更所持</w:t>
      </w:r>
      <w:r>
        <w:rPr>
          <w:rFonts w:ascii="宋体" w:hAnsi="宋体"/>
          <w:bCs/>
          <w:sz w:val="24"/>
        </w:rPr>
        <w:t xml:space="preserve">集合计划</w:t>
      </w:r>
      <w:r>
        <w:rPr>
          <w:rFonts w:ascii="宋体" w:hAnsi="宋体"/>
          <w:bCs/>
          <w:sz w:val="24"/>
        </w:rPr>
        <w:t xml:space="preserve">份额销售机构的操作</w:t>
      </w:r>
      <w:r/>
    </w:p>
    <w:p>
      <w:pPr>
        <w:pStyle w:val="369"/>
        <w:ind w:firstLine="480"/>
        <w:snapToGrid w:val="1"/>
        <w:spacing w:lineRule="auto" w:line="360"/>
        <w:rPr>
          <w:rFonts w:ascii="宋体" w:hAnsi="宋体"/>
          <w:bCs/>
          <w:sz w:val="24"/>
        </w:rPr>
      </w:pPr>
      <w:r>
        <w:rPr>
          <w:rFonts w:ascii="宋体" w:hAnsi="宋体"/>
          <w:bCs/>
          <w:sz w:val="24"/>
        </w:rPr>
        <w:t xml:space="preserve">45</w:t>
      </w:r>
      <w:r>
        <w:rPr>
          <w:rFonts w:ascii="宋体" w:hAnsi="宋体"/>
          <w:bCs/>
          <w:sz w:val="24"/>
        </w:rPr>
        <w:t xml:space="preserve">、</w:t>
      </w:r>
      <w:r>
        <w:rPr>
          <w:rFonts w:ascii="宋体" w:hAnsi="宋体"/>
          <w:bCs/>
          <w:sz w:val="24"/>
        </w:rPr>
        <w:t xml:space="preserve">定期定额投资计划：指投资人通过有关销售机构提出申请，约定每期</w:t>
      </w:r>
      <w:r>
        <w:rPr>
          <w:rFonts w:ascii="宋体" w:hAnsi="宋体"/>
          <w:bCs/>
          <w:sz w:val="24"/>
        </w:rPr>
        <w:t xml:space="preserve">申购</w:t>
      </w:r>
      <w:r>
        <w:rPr>
          <w:rFonts w:ascii="宋体" w:hAnsi="宋体"/>
          <w:bCs/>
          <w:sz w:val="24"/>
        </w:rPr>
        <w:t xml:space="preserve">日、扣款金额及扣款方式，由销售机构于每期约定扣款日在投资人指定银行账户内自动完成扣款及</w:t>
      </w:r>
      <w:r>
        <w:rPr>
          <w:rFonts w:ascii="宋体" w:hAnsi="宋体"/>
          <w:bCs/>
          <w:sz w:val="24"/>
        </w:rPr>
        <w:t xml:space="preserve">受理</w:t>
      </w:r>
      <w:r>
        <w:rPr>
          <w:rFonts w:ascii="宋体" w:hAnsi="宋体"/>
          <w:bCs/>
          <w:sz w:val="24"/>
        </w:rPr>
        <w:t xml:space="preserve">申购申请的一种投资方式</w:t>
      </w:r>
      <w:r/>
    </w:p>
    <w:p>
      <w:pPr>
        <w:pStyle w:val="369"/>
        <w:ind w:firstLine="480"/>
        <w:snapToGrid w:val="1"/>
        <w:spacing w:lineRule="auto" w:line="360"/>
        <w:rPr>
          <w:rFonts w:ascii="宋体" w:hAnsi="宋体"/>
          <w:bCs/>
          <w:sz w:val="24"/>
        </w:rPr>
      </w:pPr>
      <w:r>
        <w:rPr>
          <w:rFonts w:ascii="宋体" w:hAnsi="宋体"/>
          <w:bCs/>
          <w:sz w:val="24"/>
        </w:rPr>
        <w:t xml:space="preserve">46</w:t>
      </w:r>
      <w:r>
        <w:rPr>
          <w:rFonts w:ascii="宋体" w:hAnsi="宋体"/>
          <w:bCs/>
          <w:sz w:val="24"/>
        </w:rPr>
        <w:t xml:space="preserve">、</w:t>
      </w:r>
      <w:r>
        <w:rPr>
          <w:rFonts w:ascii="宋体" w:hAnsi="宋体"/>
          <w:bCs/>
          <w:sz w:val="24"/>
        </w:rPr>
        <w:t xml:space="preserve">巨额赎回：指本集合计划单个开放日，</w:t>
      </w:r>
      <w:r>
        <w:rPr>
          <w:rFonts w:ascii="宋体" w:hAnsi="宋体"/>
          <w:bCs/>
          <w:sz w:val="24"/>
        </w:rPr>
        <w:t xml:space="preserve">集合计划</w:t>
      </w:r>
      <w:r>
        <w:rPr>
          <w:rFonts w:ascii="宋体" w:hAnsi="宋体"/>
          <w:bCs/>
          <w:sz w:val="24"/>
        </w:rPr>
        <w:t xml:space="preserve">净赎回申请(赎回申请份</w:t>
      </w:r>
      <w:r>
        <w:rPr>
          <w:rFonts w:ascii="宋体" w:hAnsi="宋体"/>
          <w:bCs/>
          <w:sz w:val="24"/>
        </w:rPr>
        <w:t xml:space="preserve">额总数加上</w:t>
      </w:r>
      <w:r>
        <w:rPr>
          <w:rFonts w:ascii="宋体" w:hAnsi="宋体"/>
          <w:bCs/>
          <w:sz w:val="24"/>
        </w:rPr>
        <w:t xml:space="preserve">集合计划</w:t>
      </w:r>
      <w:r>
        <w:rPr>
          <w:rFonts w:ascii="宋体" w:hAnsi="宋体"/>
          <w:bCs/>
          <w:sz w:val="24"/>
        </w:rPr>
        <w:t xml:space="preserve">转换中转出申请份额总</w:t>
      </w:r>
      <w:r>
        <w:rPr>
          <w:rFonts w:ascii="宋体" w:hAnsi="宋体"/>
          <w:bCs/>
          <w:sz w:val="24"/>
        </w:rPr>
        <w:t xml:space="preserve">数后扣除申购申请份额总数及</w:t>
      </w:r>
      <w:r>
        <w:rPr>
          <w:rFonts w:ascii="宋体" w:hAnsi="宋体"/>
          <w:bCs/>
          <w:sz w:val="24"/>
        </w:rPr>
        <w:t xml:space="preserve">集合计划</w:t>
      </w:r>
      <w:r>
        <w:rPr>
          <w:rFonts w:ascii="宋体" w:hAnsi="宋体"/>
          <w:bCs/>
          <w:sz w:val="24"/>
        </w:rPr>
        <w:t xml:space="preserve">转换中转入申请份额总数后的余额)超过上一</w:t>
      </w:r>
      <w:r>
        <w:rPr>
          <w:rFonts w:ascii="宋体" w:hAnsi="宋体"/>
          <w:bCs/>
          <w:sz w:val="24"/>
        </w:rPr>
        <w:t xml:space="preserve">开放</w:t>
      </w:r>
      <w:r>
        <w:rPr>
          <w:rFonts w:ascii="宋体" w:hAnsi="宋体"/>
          <w:bCs/>
          <w:sz w:val="24"/>
        </w:rPr>
        <w:t xml:space="preserve">日</w:t>
      </w:r>
      <w:r>
        <w:rPr>
          <w:rFonts w:ascii="宋体" w:hAnsi="宋体"/>
          <w:bCs/>
          <w:sz w:val="24"/>
        </w:rPr>
        <w:t xml:space="preserve">集合计划</w:t>
      </w:r>
      <w:r>
        <w:rPr>
          <w:rFonts w:ascii="宋体" w:hAnsi="宋体"/>
          <w:bCs/>
          <w:sz w:val="24"/>
        </w:rPr>
        <w:t xml:space="preserve">总份额的</w:t>
      </w:r>
      <w:r>
        <w:rPr>
          <w:rFonts w:ascii="宋体" w:hAnsi="宋体"/>
          <w:bCs/>
          <w:sz w:val="24"/>
        </w:rPr>
        <w:t xml:space="preserve">10</w:t>
      </w:r>
      <w:r>
        <w:rPr>
          <w:rFonts w:ascii="宋体" w:hAnsi="宋体"/>
          <w:bCs/>
          <w:sz w:val="24"/>
        </w:rPr>
        <w:t xml:space="preserve">%</w:t>
      </w:r>
      <w:r>
        <w:rPr>
          <w:rFonts w:ascii="宋体" w:hAnsi="宋体"/>
          <w:bCs/>
          <w:sz w:val="24"/>
        </w:rPr>
        <w:t xml:space="preserve">    </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47</w:t>
      </w:r>
      <w:r>
        <w:rPr>
          <w:rFonts w:ascii="宋体" w:hAnsi="宋体"/>
          <w:bCs/>
          <w:sz w:val="24"/>
        </w:rPr>
        <w:t xml:space="preserve">、</w:t>
      </w:r>
      <w:r>
        <w:rPr>
          <w:rFonts w:ascii="宋体" w:hAnsi="宋体"/>
          <w:bCs/>
          <w:sz w:val="24"/>
        </w:rPr>
        <w:t xml:space="preserve">元：指人民币元</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8</w:t>
      </w:r>
      <w:r>
        <w:rPr>
          <w:rFonts w:ascii="宋体" w:hAnsi="宋体"/>
          <w:bCs/>
          <w:sz w:val="24"/>
        </w:rPr>
        <w:t xml:space="preserve">、集合计划</w:t>
      </w:r>
      <w:r>
        <w:rPr>
          <w:rFonts w:ascii="宋体" w:hAnsi="宋体"/>
          <w:bCs/>
          <w:sz w:val="24"/>
        </w:rPr>
        <w:t xml:space="preserve">收益：指</w:t>
      </w:r>
      <w:r>
        <w:rPr>
          <w:rFonts w:ascii="宋体" w:hAnsi="宋体"/>
          <w:bCs/>
          <w:sz w:val="24"/>
        </w:rPr>
        <w:t xml:space="preserve">集合计划</w:t>
      </w:r>
      <w:r>
        <w:rPr>
          <w:rFonts w:ascii="宋体" w:hAnsi="宋体"/>
          <w:bCs/>
          <w:sz w:val="24"/>
        </w:rPr>
        <w:t xml:space="preserve">投资所得红利、股息、债券利息、买卖证券价差、银行存款利息、已实现的其他合法收入及因运用</w:t>
      </w:r>
      <w:r>
        <w:rPr>
          <w:rFonts w:ascii="宋体" w:hAnsi="宋体"/>
          <w:bCs/>
          <w:sz w:val="24"/>
        </w:rPr>
        <w:t xml:space="preserve">集合计划</w:t>
      </w:r>
      <w:r>
        <w:rPr>
          <w:rFonts w:ascii="宋体" w:hAnsi="宋体"/>
          <w:bCs/>
          <w:sz w:val="24"/>
        </w:rPr>
        <w:t xml:space="preserve">财产带来的成本和费用的节约</w:t>
      </w:r>
      <w:r/>
    </w:p>
    <w:p>
      <w:pPr>
        <w:pStyle w:val="369"/>
        <w:ind w:firstLine="480"/>
        <w:snapToGrid w:val="1"/>
        <w:spacing w:lineRule="auto" w:line="360"/>
        <w:rPr>
          <w:rFonts w:ascii="宋体" w:hAnsi="宋体"/>
          <w:bCs/>
          <w:sz w:val="24"/>
        </w:rPr>
      </w:pPr>
      <w:r>
        <w:rPr>
          <w:rFonts w:ascii="宋体" w:hAnsi="宋体"/>
          <w:bCs/>
          <w:sz w:val="24"/>
        </w:rPr>
        <w:t xml:space="preserve">49</w:t>
      </w:r>
      <w:r>
        <w:rPr>
          <w:rFonts w:ascii="宋体" w:hAnsi="宋体"/>
          <w:bCs/>
          <w:sz w:val="24"/>
        </w:rPr>
        <w:t xml:space="preserve">、集合计划</w:t>
      </w:r>
      <w:r>
        <w:rPr>
          <w:rFonts w:ascii="宋体" w:hAnsi="宋体"/>
          <w:bCs/>
          <w:sz w:val="24"/>
        </w:rPr>
        <w:t xml:space="preserve">资产总值：指</w:t>
      </w:r>
      <w:r>
        <w:rPr>
          <w:rFonts w:ascii="宋体" w:hAnsi="宋体"/>
          <w:bCs/>
          <w:sz w:val="24"/>
        </w:rPr>
        <w:t xml:space="preserve">集合计划</w:t>
      </w:r>
      <w:r>
        <w:rPr>
          <w:rFonts w:ascii="宋体" w:hAnsi="宋体"/>
          <w:bCs/>
          <w:sz w:val="24"/>
        </w:rPr>
        <w:t xml:space="preserve">拥有的各类有价证券、银行存款本息、</w:t>
      </w:r>
      <w:r>
        <w:rPr>
          <w:rFonts w:ascii="宋体" w:hAnsi="宋体"/>
          <w:bCs/>
          <w:sz w:val="24"/>
        </w:rPr>
        <w:t xml:space="preserve">集合计划</w:t>
      </w:r>
      <w:r>
        <w:rPr>
          <w:rFonts w:ascii="宋体" w:hAnsi="宋体"/>
          <w:bCs/>
          <w:sz w:val="24"/>
        </w:rPr>
        <w:t xml:space="preserve">应收申购款及其他资产的价值总和</w:t>
      </w:r>
      <w:r/>
    </w:p>
    <w:p>
      <w:pPr>
        <w:pStyle w:val="369"/>
        <w:ind w:firstLine="480"/>
        <w:snapToGrid w:val="1"/>
        <w:spacing w:lineRule="auto" w:line="360"/>
        <w:rPr>
          <w:rFonts w:ascii="宋体" w:hAnsi="宋体"/>
          <w:bCs/>
          <w:sz w:val="24"/>
        </w:rPr>
      </w:pPr>
      <w:r>
        <w:rPr>
          <w:rFonts w:ascii="宋体" w:hAnsi="宋体"/>
          <w:bCs/>
          <w:sz w:val="24"/>
        </w:rPr>
        <w:t xml:space="preserve">50</w:t>
      </w:r>
      <w:r>
        <w:rPr>
          <w:rFonts w:ascii="宋体" w:hAnsi="宋体"/>
          <w:bCs/>
          <w:sz w:val="24"/>
        </w:rPr>
        <w:t xml:space="preserve">、</w:t>
      </w:r>
      <w:r>
        <w:rPr>
          <w:rFonts w:ascii="宋体" w:hAnsi="宋体"/>
          <w:bCs/>
          <w:sz w:val="24"/>
        </w:rPr>
        <w:t xml:space="preserve">集合计划资产净值：指</w:t>
      </w:r>
      <w:r>
        <w:rPr>
          <w:rFonts w:ascii="宋体" w:hAnsi="宋体"/>
          <w:bCs/>
          <w:sz w:val="24"/>
        </w:rPr>
        <w:t xml:space="preserve">集合计划</w:t>
      </w:r>
      <w:r>
        <w:rPr>
          <w:rFonts w:ascii="宋体" w:hAnsi="宋体"/>
          <w:bCs/>
          <w:sz w:val="24"/>
        </w:rPr>
        <w:t xml:space="preserve">资产总值减去</w:t>
      </w:r>
      <w:r>
        <w:rPr>
          <w:rFonts w:ascii="宋体" w:hAnsi="宋体"/>
          <w:bCs/>
          <w:sz w:val="24"/>
        </w:rPr>
        <w:t xml:space="preserve">集合计划</w:t>
      </w:r>
      <w:r>
        <w:rPr>
          <w:rFonts w:ascii="宋体" w:hAnsi="宋体"/>
          <w:bCs/>
          <w:sz w:val="24"/>
        </w:rPr>
        <w:t xml:space="preserve">负债后的价值</w:t>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1</w:t>
      </w:r>
      <w:r>
        <w:rPr>
          <w:rFonts w:ascii="宋体" w:hAnsi="宋体"/>
          <w:bCs/>
          <w:sz w:val="24"/>
        </w:rPr>
        <w:t xml:space="preserve">、</w:t>
      </w:r>
      <w:r>
        <w:rPr>
          <w:rFonts w:ascii="宋体" w:hAnsi="宋体"/>
          <w:bCs/>
          <w:sz w:val="24"/>
        </w:rPr>
        <w:t xml:space="preserve">集合计</w:t>
      </w:r>
      <w:r>
        <w:rPr>
          <w:rFonts w:ascii="宋体" w:hAnsi="宋体"/>
          <w:bCs/>
          <w:sz w:val="24"/>
        </w:rPr>
        <w:t xml:space="preserve">划份额净值：指计算日集合计划资产净值除以计算日</w:t>
      </w:r>
      <w:r>
        <w:rPr>
          <w:rFonts w:ascii="宋体" w:hAnsi="宋体"/>
          <w:bCs/>
          <w:sz w:val="24"/>
        </w:rPr>
        <w:t xml:space="preserve">集合计划</w:t>
      </w:r>
      <w:r>
        <w:rPr>
          <w:rFonts w:ascii="宋体" w:hAnsi="宋体"/>
          <w:bCs/>
          <w:sz w:val="24"/>
        </w:rPr>
        <w:t xml:space="preserve">份额总数</w:t>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2</w:t>
      </w:r>
      <w:r>
        <w:rPr>
          <w:rFonts w:ascii="宋体" w:hAnsi="宋体"/>
          <w:bCs/>
          <w:sz w:val="24"/>
        </w:rPr>
        <w:t xml:space="preserve">、集合计划</w:t>
      </w:r>
      <w:r>
        <w:rPr>
          <w:rFonts w:ascii="宋体" w:hAnsi="宋体"/>
          <w:bCs/>
          <w:sz w:val="24"/>
        </w:rPr>
        <w:t xml:space="preserve">资产估值：指计算评估</w:t>
      </w:r>
      <w:r>
        <w:rPr>
          <w:rFonts w:ascii="宋体" w:hAnsi="宋体"/>
          <w:bCs/>
          <w:sz w:val="24"/>
        </w:rPr>
        <w:t xml:space="preserve">集合计划</w:t>
      </w:r>
      <w:r>
        <w:rPr>
          <w:rFonts w:ascii="宋体" w:hAnsi="宋体"/>
          <w:bCs/>
          <w:sz w:val="24"/>
        </w:rPr>
        <w:t xml:space="preserve">资产和负债的价值，以确定集合计划资产净值和集合计划份额净值的过程</w:t>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3</w:t>
      </w:r>
      <w:r>
        <w:rPr>
          <w:rFonts w:ascii="宋体" w:hAnsi="宋体"/>
          <w:bCs/>
          <w:sz w:val="24"/>
        </w:rPr>
        <w:t xml:space="preserve">、规定媒介</w:t>
      </w:r>
      <w:r>
        <w:rPr>
          <w:rFonts w:ascii="宋体" w:hAnsi="宋体"/>
          <w:bCs/>
          <w:sz w:val="24"/>
        </w:rPr>
        <w:t xml:space="preserve">：</w:t>
      </w:r>
      <w:r>
        <w:rPr>
          <w:rFonts w:ascii="宋体" w:hAnsi="宋体"/>
          <w:sz w:val="24"/>
        </w:rPr>
        <w:t xml:space="preserve">指符合中国证监会规定条件的用以进行信息披露的全国性报刊及《信息披露办法》规定的互联网网站（包括管理人网站、托管人网站、中国证监会基金电子披露网站）等媒介</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4</w:t>
      </w:r>
      <w:r>
        <w:rPr>
          <w:rFonts w:ascii="宋体" w:hAnsi="宋体"/>
          <w:bCs/>
          <w:sz w:val="24"/>
        </w:rPr>
        <w:t xml:space="preserve">、流动性受限资产：指由于法律法规、监管、合同或操作障碍等原因无法以合理价格予以变现的资产，包括但不限于到期日在10个交易日以上的逆回购与银行定期存款（含协议约定有条件</w:t>
      </w:r>
      <w:r>
        <w:rPr>
          <w:rFonts w:ascii="宋体" w:hAnsi="宋体"/>
          <w:bCs/>
          <w:sz w:val="24"/>
        </w:rPr>
        <w:t xml:space="preserve">提前支取的银行存款）、停牌股票、流通受限的新股及非公开发</w:t>
      </w:r>
      <w:r>
        <w:rPr>
          <w:rFonts w:ascii="宋体" w:hAnsi="宋体"/>
          <w:bCs/>
          <w:sz w:val="24"/>
        </w:rPr>
        <w:t xml:space="preserve">行股票、资产支持证券、因发行人债务违约无法进行转让或交易的债券等</w:t>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5</w:t>
      </w:r>
      <w:r>
        <w:rPr>
          <w:rFonts w:ascii="宋体" w:hAnsi="宋体"/>
          <w:bCs/>
          <w:sz w:val="24"/>
        </w:rPr>
        <w:t xml:space="preserve">、摆动定价机制：指当开放式集合资产管理计划遭遇大额申购赎回时，通过调整集合资产管理计划份额净值的方式，将集合资产管理计划调整投资组合的市场冲击成本分配给实际申购、赎回的投资者，从而减少对存量集合资产管理计划份额持有人利益的不利影响，确保投资人的合法权益不受损害并得到公平对待</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56</w:t>
      </w:r>
      <w:r>
        <w:rPr>
          <w:rFonts w:ascii="宋体" w:hAnsi="宋体"/>
          <w:bCs/>
          <w:sz w:val="24"/>
        </w:rPr>
        <w:t xml:space="preserve">、侧袋机制：指将集合计划投资组合中的特定资产从原有账户分离至一个专门账户进行处置清算，目的在于有效隔离并化</w:t>
      </w:r>
      <w:r>
        <w:rPr>
          <w:rFonts w:ascii="宋体" w:hAnsi="宋体"/>
          <w:bCs/>
          <w:sz w:val="24"/>
        </w:rPr>
        <w:t xml:space="preserve">解风险，确保投资者得到公平对待，属于流动性风险管理工具。</w:t>
      </w:r>
      <w:r>
        <w:rPr>
          <w:rFonts w:ascii="宋体" w:hAnsi="宋体"/>
          <w:bCs/>
          <w:sz w:val="24"/>
        </w:rPr>
        <w:t xml:space="preserve">侧袋机制实施期间，原有账户称为主袋账户，专门账户称为侧袋账户</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57</w:t>
      </w:r>
      <w:r>
        <w:rPr>
          <w:rFonts w:ascii="宋体" w:hAnsi="宋体"/>
          <w:bCs/>
          <w:sz w:val="24"/>
        </w:rPr>
        <w:t xml:space="preserve">、特定资产：包括：（</w:t>
      </w:r>
      <w:r>
        <w:rPr>
          <w:rFonts w:ascii="宋体" w:hAnsi="宋体"/>
          <w:bCs/>
          <w:sz w:val="24"/>
        </w:rPr>
        <w:t xml:space="preserve">1</w:t>
      </w:r>
      <w:r>
        <w:rPr>
          <w:rFonts w:ascii="宋体" w:hAnsi="宋体"/>
          <w:bCs/>
          <w:sz w:val="24"/>
        </w:rPr>
        <w:t xml:space="preserve">）无可参考的活跃市场价格且采用估值技术仍导致公允价值存在重大不确定性的资产；（</w:t>
      </w:r>
      <w:r>
        <w:rPr>
          <w:rFonts w:ascii="宋体" w:hAnsi="宋体"/>
          <w:bCs/>
          <w:sz w:val="24"/>
        </w:rPr>
        <w:t xml:space="preserve">2</w:t>
      </w:r>
      <w:r>
        <w:rPr>
          <w:rFonts w:ascii="宋体" w:hAnsi="宋体"/>
          <w:bCs/>
          <w:sz w:val="24"/>
        </w:rPr>
        <w:t xml:space="preserve">）按摊余成本计量且计提资产减值准备仍导致资产价值存在重大不确定性的资产；（</w:t>
      </w:r>
      <w:r>
        <w:rPr>
          <w:rFonts w:ascii="宋体" w:hAnsi="宋体"/>
          <w:bCs/>
          <w:sz w:val="24"/>
        </w:rPr>
        <w:t xml:space="preserve">3</w:t>
      </w:r>
      <w:r>
        <w:rPr>
          <w:rFonts w:ascii="宋体" w:hAnsi="宋体"/>
          <w:bCs/>
          <w:sz w:val="24"/>
        </w:rPr>
        <w:t xml:space="preserve">）其他资产价值存在重大不确定性的</w:t>
      </w:r>
      <w:r>
        <w:rPr>
          <w:rFonts w:ascii="宋体" w:hAnsi="宋体"/>
          <w:color w:val="000000"/>
          <w:sz w:val="24"/>
          <w:szCs w:val="24"/>
        </w:rPr>
        <w:t xml:space="preserve">资产</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8</w:t>
      </w:r>
      <w:r>
        <w:rPr>
          <w:rFonts w:ascii="宋体" w:hAnsi="宋体"/>
          <w:bCs/>
          <w:sz w:val="24"/>
        </w:rPr>
        <w:t xml:space="preserve">、</w:t>
      </w:r>
      <w:r>
        <w:rPr>
          <w:rFonts w:ascii="宋体" w:hAnsi="宋体"/>
          <w:bCs/>
          <w:sz w:val="24"/>
        </w:rPr>
        <w:t xml:space="preserve">不可抗力：</w:t>
      </w:r>
      <w:r>
        <w:rPr>
          <w:rFonts w:ascii="宋体" w:hAnsi="宋体"/>
          <w:bCs/>
          <w:sz w:val="24"/>
        </w:rPr>
        <w:t xml:space="preserve">指本合同当事人不能预见、不能避免、不能克服，且在本合同由</w:t>
      </w:r>
      <w:r>
        <w:rPr>
          <w:rFonts w:ascii="宋体" w:hAnsi="宋体"/>
          <w:sz w:val="24"/>
        </w:rPr>
        <w:t xml:space="preserve">集合计划份额持有人、</w:t>
      </w:r>
      <w:r>
        <w:rPr>
          <w:rFonts w:ascii="宋体" w:hAnsi="宋体"/>
          <w:bCs/>
          <w:sz w:val="24"/>
        </w:rPr>
        <w:t xml:space="preserve">管理人、托管人签署之日后发生的，使本合同当事人无法全部履行或无法部分履行本合同的任</w:t>
      </w:r>
      <w:r>
        <w:rPr>
          <w:rFonts w:ascii="宋体" w:hAnsi="宋体"/>
          <w:bCs/>
          <w:sz w:val="24"/>
        </w:rPr>
        <w:t xml:space="preserve">何事件和因素，包括但不限于洪水、地震及其他自然灾害、战争</w:t>
      </w:r>
      <w:r>
        <w:rPr>
          <w:rFonts w:ascii="宋体" w:hAnsi="宋体"/>
          <w:bCs/>
          <w:sz w:val="24"/>
        </w:rPr>
        <w:t xml:space="preserve">、骚乱、火灾、政府征用、没收、恐怖袭击、传染病传播、法律法规变化、系统故障、突发停电或其他突发事件、证券交易所或证券登记结算机构非正常暂停或停止交易或发送数据存在延误、错漏</w:t>
      </w:r>
      <w:r/>
    </w:p>
    <w:p>
      <w:pPr>
        <w:pStyle w:val="370"/>
        <w:jc w:val="center"/>
        <w:snapToGrid w:val="1"/>
        <w:spacing w:after="0" w:before="0"/>
        <w:rPr>
          <w:rFonts w:hAnsi="宋体"/>
          <w:color w:val="000000"/>
          <w:sz w:val="30"/>
        </w:rPr>
      </w:pPr>
      <w:r>
        <w:rPr>
          <w:rFonts w:hAnsi="宋体"/>
          <w:b w:val="false"/>
          <w:bCs/>
          <w:color w:val="000000"/>
        </w:rPr>
        <w:br w:type="page"/>
      </w:r>
      <w:bookmarkStart w:id="61" w:name="_Toc733"/>
      <w:r/>
      <w:bookmarkStart w:id="62" w:name="_Toc18631"/>
      <w:r/>
      <w:bookmarkStart w:id="63" w:name="_Toc22708"/>
      <w:r/>
      <w:bookmarkStart w:id="64" w:name="_Toc20318"/>
      <w:r/>
      <w:bookmarkStart w:id="65" w:name="_Toc6683"/>
      <w:r/>
      <w:bookmarkStart w:id="66" w:name="_Toc20627"/>
      <w:r/>
      <w:bookmarkStart w:id="67" w:name="_Toc24571"/>
      <w:r/>
      <w:bookmarkStart w:id="68" w:name="_Toc6149"/>
      <w:r/>
      <w:bookmarkStart w:id="69" w:name="_Toc545"/>
      <w:r/>
      <w:bookmarkStart w:id="70" w:name="_Toc13288"/>
      <w:r/>
      <w:bookmarkStart w:id="71" w:name="_Toc58146335"/>
      <w:r>
        <w:rPr>
          <w:rFonts w:hAnsi="宋体"/>
          <w:color w:val="000000"/>
          <w:sz w:val="30"/>
        </w:rPr>
        <w:t xml:space="preserve">第四部分  </w:t>
      </w:r>
      <w:r>
        <w:rPr>
          <w:rFonts w:hAnsi="宋体"/>
          <w:color w:val="000000"/>
          <w:sz w:val="30"/>
        </w:rPr>
        <w:t xml:space="preserve">集合计划</w:t>
      </w:r>
      <w:r>
        <w:rPr>
          <w:rFonts w:hAnsi="宋体"/>
          <w:color w:val="000000"/>
          <w:sz w:val="30"/>
        </w:rPr>
        <w:t xml:space="preserve">的基本情况</w:t>
      </w:r>
      <w:bookmarkEnd w:id="61"/>
      <w:r/>
      <w:bookmarkEnd w:id="62"/>
      <w:r/>
      <w:bookmarkEnd w:id="63"/>
      <w:r/>
      <w:bookmarkEnd w:id="64"/>
      <w:r/>
      <w:bookmarkEnd w:id="65"/>
      <w:r/>
      <w:bookmarkEnd w:id="66"/>
      <w:r/>
      <w:bookmarkEnd w:id="67"/>
      <w:r/>
      <w:bookmarkEnd w:id="68"/>
      <w:r/>
      <w:bookmarkEnd w:id="69"/>
      <w:r/>
      <w:bookmarkEnd w:id="70"/>
      <w:r/>
      <w:bookmarkEnd w:id="71"/>
      <w:r/>
      <w:bookmarkStart w:id="72" w:name="_Toc79392573"/>
      <w:r>
        <w:rPr>
          <w:rFonts w:hAnsi="宋体"/>
          <w:color w:val="000000"/>
          <w:sz w:val="30"/>
        </w:rPr>
      </w:r>
      <w:r/>
    </w:p>
    <w:p>
      <w:pPr>
        <w:pStyle w:val="369"/>
        <w:ind w:firstLine="540"/>
        <w:snapToGrid w:val="1"/>
        <w:spacing w:lineRule="auto" w:line="360"/>
        <w:rPr>
          <w:rFonts w:ascii="宋体" w:hAnsi="宋体"/>
          <w:bCs/>
          <w:sz w:val="24"/>
        </w:rPr>
      </w:pPr>
      <w:r/>
      <w:bookmarkStart w:id="73" w:name="_Hlt88031774"/>
      <w:r/>
      <w:bookmarkEnd w:id="73"/>
      <w:r/>
      <w:bookmarkStart w:id="74" w:name="_Hlt88031741"/>
      <w:r>
        <w:rPr>
          <w:rFonts w:ascii="宋体" w:hAnsi="宋体"/>
          <w:bCs/>
          <w:sz w:val="24"/>
        </w:rPr>
      </w:r>
      <w:r/>
    </w:p>
    <w:p>
      <w:pPr>
        <w:pStyle w:val="369"/>
        <w:ind w:firstLine="480"/>
        <w:snapToGrid w:val="1"/>
        <w:spacing w:lineRule="auto" w:line="360"/>
        <w:rPr>
          <w:rFonts w:ascii="宋体" w:hAnsi="宋体"/>
          <w:bCs/>
          <w:sz w:val="24"/>
        </w:rPr>
      </w:pPr>
      <w:r/>
      <w:bookmarkEnd w:id="74"/>
      <w:r>
        <w:rPr>
          <w:rFonts w:ascii="宋体" w:hAnsi="宋体"/>
          <w:bCs/>
          <w:sz w:val="24"/>
        </w:rPr>
        <w:t xml:space="preserve">一、</w:t>
      </w:r>
      <w:r>
        <w:rPr>
          <w:rFonts w:ascii="宋体" w:hAnsi="宋体"/>
          <w:bCs/>
          <w:sz w:val="24"/>
        </w:rPr>
        <w:t xml:space="preserve">集合计划</w:t>
      </w:r>
      <w:r>
        <w:rPr>
          <w:rFonts w:ascii="宋体" w:hAnsi="宋体"/>
          <w:bCs/>
          <w:sz w:val="24"/>
        </w:rPr>
        <w:t xml:space="preserve">名称</w:t>
      </w:r>
      <w:bookmarkEnd w:id="72"/>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东海证券</w:t>
      </w:r>
      <w:r>
        <w:rPr>
          <w:rFonts w:ascii="宋体" w:hAnsi="宋体"/>
          <w:bCs/>
          <w:sz w:val="24"/>
        </w:rPr>
        <w:t xml:space="preserve">海盈3个月</w:t>
      </w:r>
      <w:r>
        <w:rPr>
          <w:rFonts w:ascii="宋体" w:hAnsi="宋体"/>
          <w:bCs/>
          <w:sz w:val="24"/>
        </w:rPr>
        <w:t xml:space="preserve">持有期</w:t>
      </w:r>
      <w:r>
        <w:rPr>
          <w:rFonts w:ascii="宋体" w:hAnsi="宋体"/>
          <w:bCs/>
          <w:sz w:val="24"/>
        </w:rPr>
        <w:t xml:space="preserve">混合型集合资产管理计划 </w:t>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bookmarkStart w:id="75" w:name="_Toc79392574"/>
      <w:r>
        <w:rPr>
          <w:rFonts w:ascii="宋体" w:hAnsi="宋体"/>
          <w:bCs/>
          <w:sz w:val="24"/>
        </w:rPr>
        <w:t xml:space="preserve">二、</w:t>
      </w:r>
      <w:r>
        <w:rPr>
          <w:rFonts w:ascii="宋体" w:hAnsi="宋体"/>
          <w:bCs/>
          <w:sz w:val="24"/>
        </w:rPr>
        <w:t xml:space="preserve">集合计划</w:t>
      </w:r>
      <w:r>
        <w:rPr>
          <w:rFonts w:ascii="宋体" w:hAnsi="宋体"/>
          <w:bCs/>
          <w:sz w:val="24"/>
        </w:rPr>
        <w:t xml:space="preserve">的类别</w:t>
      </w:r>
      <w:bookmarkEnd w:id="75"/>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混合型</w:t>
      </w:r>
      <w:r>
        <w:rPr>
          <w:rFonts w:ascii="宋体" w:hAnsi="宋体"/>
          <w:bCs/>
          <w:sz w:val="24"/>
        </w:rPr>
        <w:t xml:space="preserve">集合资产管理计划</w:t>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bookmarkStart w:id="76" w:name="_Toc79392575"/>
      <w:r>
        <w:rPr>
          <w:rFonts w:ascii="宋体" w:hAnsi="宋体"/>
          <w:bCs/>
          <w:sz w:val="24"/>
        </w:rPr>
        <w:t xml:space="preserve">三、</w:t>
      </w:r>
      <w:r>
        <w:rPr>
          <w:rFonts w:ascii="宋体" w:hAnsi="宋体"/>
          <w:bCs/>
          <w:sz w:val="24"/>
        </w:rPr>
        <w:t xml:space="preserve">集合计划</w:t>
      </w:r>
      <w:r>
        <w:rPr>
          <w:rFonts w:ascii="宋体" w:hAnsi="宋体"/>
          <w:bCs/>
          <w:sz w:val="24"/>
        </w:rPr>
        <w:t xml:space="preserve">的运作方式</w:t>
      </w:r>
      <w:r/>
    </w:p>
    <w:p>
      <w:pPr>
        <w:pStyle w:val="369"/>
        <w:ind w:firstLine="480"/>
        <w:snapToGrid w:val="1"/>
        <w:spacing w:lineRule="auto" w:line="360"/>
        <w:rPr>
          <w:rFonts w:ascii="宋体" w:hAnsi="宋体"/>
          <w:bCs/>
          <w:sz w:val="24"/>
        </w:rPr>
      </w:pPr>
      <w:r>
        <w:rPr>
          <w:rFonts w:ascii="宋体" w:hAnsi="宋体"/>
          <w:bCs/>
          <w:sz w:val="24"/>
        </w:rPr>
        <w:t xml:space="preserve">契约型开放式</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本集合计划对原集合计划份额转换为本集合计划的份额不设置</w:t>
      </w:r>
      <w:r>
        <w:rPr>
          <w:rFonts w:ascii="宋体" w:hAnsi="宋体"/>
          <w:bCs/>
          <w:sz w:val="24"/>
        </w:rPr>
        <w:t xml:space="preserve">锁定</w:t>
      </w:r>
      <w:r>
        <w:rPr>
          <w:rFonts w:ascii="宋体" w:hAnsi="宋体"/>
          <w:bCs/>
          <w:sz w:val="24"/>
        </w:rPr>
        <w:t xml:space="preserve">期</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本集合计划对本合同生效后申购</w:t>
      </w:r>
      <w:r>
        <w:rPr>
          <w:rFonts w:ascii="宋体" w:hAnsi="宋体"/>
          <w:bCs/>
          <w:sz w:val="24"/>
        </w:rPr>
        <w:t xml:space="preserve">的每份集合计划份额设置3个月的锁定期。在锁定期到期日之前</w:t>
      </w:r>
      <w:r>
        <w:rPr>
          <w:rFonts w:ascii="宋体" w:hAnsi="宋体"/>
          <w:bCs/>
          <w:sz w:val="24"/>
        </w:rPr>
        <w:t xml:space="preserve">（不含当日），投资者不能提出赎回申请；锁定期期满后（含锁定期到期日当日）投资者可以申请赎回。</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对于本合同生效后申购的集合计划份额，锁定期起始日指该集合计划份额申购申请的确认日。锁定期到期日指锁定期起始日起3个月的对应日，如无对应日或该对应日为非工作日，则顺延至下一工作日。因不可抗力或本合同约定的其他情形致使管理人无法在集合计划份额的锁定期到期日按时开放办理该份额的赎回业务的，该份额的锁定期到期日顺延至不可抗力或本合同约定的其他情形的影响因素消除之日起的</w:t>
      </w:r>
      <w:r>
        <w:rPr>
          <w:rFonts w:ascii="宋体" w:hAnsi="宋体"/>
          <w:bCs/>
          <w:sz w:val="24"/>
        </w:rPr>
        <w:t xml:space="preserve">下一个工作日。</w:t>
      </w:r>
      <w:r/>
    </w:p>
    <w:p>
      <w:pPr>
        <w:pStyle w:val="369"/>
        <w:ind w:firstLine="480"/>
        <w:snapToGrid w:val="1"/>
        <w:spacing w:lineRule="auto" w:line="360"/>
        <w:rPr>
          <w:rFonts w:ascii="宋体" w:hAnsi="宋体"/>
          <w:bCs/>
          <w:sz w:val="24"/>
        </w:rPr>
      </w:pPr>
      <w:r>
        <w:rPr>
          <w:rFonts w:ascii="宋体" w:hAnsi="宋体"/>
          <w:bCs/>
          <w:sz w:val="24"/>
        </w:rPr>
        <w:t xml:space="preserve">四、</w:t>
      </w:r>
      <w:r>
        <w:rPr>
          <w:rFonts w:ascii="宋体" w:hAnsi="宋体"/>
          <w:bCs/>
          <w:sz w:val="24"/>
        </w:rPr>
        <w:t xml:space="preserve">集合计划</w:t>
      </w:r>
      <w:r>
        <w:rPr>
          <w:rFonts w:ascii="宋体" w:hAnsi="宋体"/>
          <w:bCs/>
          <w:sz w:val="24"/>
        </w:rPr>
        <w:t xml:space="preserve">的投资目标</w:t>
      </w:r>
      <w:bookmarkEnd w:id="76"/>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本集合计划在严格控制风险的基础上，力争实现超过业绩比较基准的投资回报。</w:t>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bookmarkStart w:id="77" w:name="_Toc79392578"/>
      <w:r>
        <w:rPr>
          <w:rFonts w:ascii="宋体" w:hAnsi="宋体"/>
          <w:bCs/>
          <w:sz w:val="24"/>
        </w:rPr>
        <w:t xml:space="preserve">五</w:t>
      </w:r>
      <w:r>
        <w:rPr>
          <w:rFonts w:ascii="宋体" w:hAnsi="宋体"/>
          <w:bCs/>
          <w:sz w:val="24"/>
        </w:rPr>
        <w:t xml:space="preserve">、</w:t>
      </w:r>
      <w:r>
        <w:rPr>
          <w:rFonts w:ascii="宋体" w:hAnsi="宋体"/>
          <w:bCs/>
          <w:sz w:val="24"/>
        </w:rPr>
        <w:t xml:space="preserve">集合计划份额的面值</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本集合计划份额的面值为人民币1.00元。</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六</w:t>
      </w:r>
      <w:r>
        <w:rPr>
          <w:rFonts w:ascii="宋体" w:hAnsi="宋体"/>
          <w:bCs/>
          <w:sz w:val="24"/>
        </w:rPr>
        <w:t xml:space="preserve">、集合计划</w:t>
      </w:r>
      <w:r>
        <w:rPr>
          <w:rFonts w:ascii="宋体" w:hAnsi="宋体"/>
          <w:bCs/>
          <w:sz w:val="24"/>
        </w:rPr>
        <w:t xml:space="preserve">存续期限</w:t>
      </w:r>
      <w:bookmarkEnd w:id="77"/>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自《东海证券东风9号集合资产管理计划合同》生效至本合同终止之间的期限。</w:t>
      </w:r>
      <w:r>
        <w:rPr>
          <w:rFonts w:ascii="宋体" w:hAnsi="宋体"/>
          <w:bCs/>
          <w:sz w:val="24"/>
        </w:rPr>
      </w:r>
      <w:r/>
    </w:p>
    <w:p>
      <w:pPr>
        <w:pStyle w:val="369"/>
        <w:ind w:firstLine="480"/>
        <w:snapToGrid w:val="1"/>
        <w:spacing w:lineRule="auto" w:line="360"/>
        <w:rPr>
          <w:rFonts w:ascii="宋体" w:hAnsi="宋体"/>
          <w:bCs/>
          <w:sz w:val="24"/>
        </w:rPr>
      </w:pPr>
      <w:r>
        <w:rPr>
          <w:rFonts w:ascii="宋体" w:hAnsi="宋体"/>
          <w:sz w:val="24"/>
        </w:rPr>
        <w:t xml:space="preserve">本集合计划自本集合计划合同变更生效日起存续期不得超过3年。</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七</w:t>
      </w:r>
      <w:r>
        <w:rPr>
          <w:rFonts w:ascii="宋体" w:hAnsi="宋体"/>
          <w:bCs/>
          <w:sz w:val="24"/>
        </w:rPr>
        <w:t xml:space="preserve">、集合计划份额类别设置</w:t>
      </w:r>
      <w:r/>
    </w:p>
    <w:p>
      <w:pPr>
        <w:pStyle w:val="369"/>
        <w:ind w:firstLine="480"/>
        <w:snapToGrid w:val="1"/>
        <w:spacing w:lineRule="auto" w:line="360"/>
        <w:rPr>
          <w:rFonts w:ascii="宋体" w:hAnsi="宋体"/>
          <w:bCs/>
          <w:sz w:val="24"/>
        </w:rPr>
      </w:pPr>
      <w:r>
        <w:rPr>
          <w:rFonts w:ascii="宋体" w:hAnsi="宋体"/>
          <w:sz w:val="24"/>
        </w:rPr>
        <w:t xml:space="preserve">在不</w:t>
      </w:r>
      <w:r>
        <w:rPr>
          <w:rFonts w:ascii="宋体" w:hAnsi="宋体"/>
          <w:bCs/>
          <w:sz w:val="24"/>
        </w:rPr>
        <w:t xml:space="preserve">违反法律法规、集合计划合同的约定以及对集</w:t>
      </w:r>
      <w:r>
        <w:rPr>
          <w:rFonts w:ascii="宋体" w:hAnsi="宋体"/>
          <w:sz w:val="24"/>
        </w:rPr>
        <w:t xml:space="preserve">合计划份额持有人利益</w:t>
      </w:r>
      <w:r>
        <w:rPr>
          <w:rFonts w:ascii="宋体" w:hAnsi="宋体"/>
          <w:bCs/>
          <w:sz w:val="24"/>
        </w:rPr>
        <w:t xml:space="preserve">无实质性不利影响</w:t>
      </w:r>
      <w:r>
        <w:rPr>
          <w:rFonts w:ascii="宋体" w:hAnsi="宋体"/>
          <w:sz w:val="24"/>
        </w:rPr>
        <w:t xml:space="preserve">的情况下，经与托管人协商</w:t>
      </w:r>
      <w:r>
        <w:rPr>
          <w:rFonts w:ascii="宋体" w:hAnsi="宋体"/>
          <w:bCs/>
          <w:sz w:val="24"/>
        </w:rPr>
        <w:t xml:space="preserve">一致，管理人在履行适当程序后可</w:t>
      </w:r>
      <w:r>
        <w:rPr>
          <w:rFonts w:ascii="宋体" w:hAnsi="宋体"/>
          <w:sz w:val="24"/>
        </w:rPr>
        <w:t xml:space="preserve">增加或调整集合</w:t>
      </w:r>
      <w:r>
        <w:rPr>
          <w:rFonts w:ascii="宋体" w:hAnsi="宋体"/>
          <w:sz w:val="24"/>
        </w:rPr>
        <w:t xml:space="preserve">计划份额类别</w:t>
      </w:r>
      <w:r>
        <w:rPr>
          <w:rFonts w:ascii="宋体" w:hAnsi="宋体"/>
          <w:bCs/>
          <w:sz w:val="24"/>
        </w:rPr>
        <w:t xml:space="preserve">设置、</w:t>
      </w:r>
      <w:r>
        <w:rPr>
          <w:rFonts w:ascii="宋体" w:hAnsi="宋体"/>
          <w:sz w:val="24"/>
        </w:rPr>
        <w:t xml:space="preserve">对集合计划份额分类办</w:t>
      </w:r>
      <w:r>
        <w:rPr>
          <w:rFonts w:ascii="宋体" w:hAnsi="宋体"/>
          <w:sz w:val="24"/>
        </w:rPr>
        <w:t xml:space="preserve">法及规则进行调整</w:t>
      </w:r>
      <w:r>
        <w:rPr>
          <w:rFonts w:ascii="宋体" w:hAnsi="宋体"/>
          <w:bCs/>
          <w:sz w:val="24"/>
        </w:rPr>
        <w:t xml:space="preserve">并在</w:t>
      </w:r>
      <w:r>
        <w:rPr>
          <w:rFonts w:ascii="宋体" w:hAnsi="宋体"/>
          <w:sz w:val="24"/>
        </w:rPr>
        <w:t xml:space="preserve">调整实施</w:t>
      </w:r>
      <w:r>
        <w:rPr>
          <w:rFonts w:ascii="宋体" w:hAnsi="宋体"/>
          <w:bCs/>
          <w:sz w:val="24"/>
        </w:rPr>
        <w:t xml:space="preserve">之日前</w:t>
      </w:r>
      <w:r>
        <w:rPr>
          <w:rFonts w:ascii="宋体" w:hAnsi="宋体"/>
          <w:sz w:val="24"/>
        </w:rPr>
        <w:t xml:space="preserve">依照《信息披露办法》的</w:t>
      </w:r>
      <w:r>
        <w:rPr>
          <w:rFonts w:ascii="宋体" w:hAnsi="宋体"/>
          <w:bCs/>
          <w:sz w:val="24"/>
        </w:rPr>
        <w:t xml:space="preserve">有关</w:t>
      </w:r>
      <w:r>
        <w:rPr>
          <w:rFonts w:ascii="宋体" w:hAnsi="宋体"/>
          <w:sz w:val="24"/>
        </w:rPr>
        <w:t xml:space="preserve">规定</w:t>
      </w:r>
      <w:r>
        <w:rPr>
          <w:rFonts w:ascii="宋体" w:hAnsi="宋体"/>
          <w:bCs/>
          <w:sz w:val="24"/>
        </w:rPr>
        <w:t xml:space="preserve">在</w:t>
      </w:r>
      <w:r>
        <w:rPr>
          <w:rFonts w:ascii="宋体" w:hAnsi="宋体"/>
          <w:sz w:val="24"/>
        </w:rPr>
        <w:t xml:space="preserve">规定</w:t>
      </w:r>
      <w:r>
        <w:rPr>
          <w:rFonts w:ascii="宋体" w:hAnsi="宋体"/>
          <w:bCs/>
          <w:sz w:val="24"/>
        </w:rPr>
        <w:t xml:space="preserve">媒介上</w:t>
      </w:r>
      <w:r>
        <w:rPr>
          <w:rFonts w:ascii="宋体" w:hAnsi="宋体"/>
          <w:sz w:val="24"/>
        </w:rPr>
        <w:t xml:space="preserve">公告</w:t>
      </w:r>
      <w:r>
        <w:rPr>
          <w:rFonts w:ascii="宋体" w:hAnsi="宋体"/>
          <w:bCs/>
          <w:sz w:val="24"/>
        </w:rPr>
        <w:t xml:space="preserve">，不需要召开集合计划份额持有人大会</w:t>
      </w:r>
      <w:r>
        <w:rPr>
          <w:rFonts w:ascii="宋体" w:hAnsi="宋体"/>
          <w:sz w:val="24"/>
        </w:rPr>
        <w:t xml:space="preserve">。</w:t>
      </w:r>
      <w:r>
        <w:rPr>
          <w:rFonts w:ascii="宋体" w:hAnsi="宋体"/>
          <w:bCs/>
          <w:sz w:val="24"/>
        </w:rPr>
      </w:r>
      <w:r/>
    </w:p>
    <w:p>
      <w:pPr>
        <w:pStyle w:val="370"/>
        <w:jc w:val="center"/>
        <w:snapToGrid w:val="1"/>
        <w:spacing w:after="0" w:before="0"/>
        <w:rPr>
          <w:rFonts w:hAnsi="宋体"/>
          <w:color w:val="000000"/>
          <w:sz w:val="30"/>
        </w:rPr>
      </w:pPr>
      <w:r>
        <w:rPr>
          <w:rFonts w:hAnsi="宋体"/>
          <w:b w:val="false"/>
          <w:bCs/>
          <w:color w:val="000000"/>
          <w:sz w:val="21"/>
        </w:rPr>
        <w:br w:type="page"/>
      </w:r>
      <w:bookmarkStart w:id="78" w:name="_Toc58146336"/>
      <w:r/>
      <w:bookmarkStart w:id="79" w:name="_Toc90742390"/>
      <w:r/>
      <w:bookmarkStart w:id="80" w:name="_Toc27226"/>
      <w:r/>
      <w:bookmarkStart w:id="81" w:name="_Toc29784"/>
      <w:r/>
      <w:bookmarkStart w:id="82" w:name="_Toc16265"/>
      <w:r/>
      <w:bookmarkStart w:id="83" w:name="_Toc90742321"/>
      <w:r/>
      <w:bookmarkStart w:id="84" w:name="_Toc22074"/>
      <w:r/>
      <w:bookmarkStart w:id="85" w:name="_Toc90742688"/>
      <w:r/>
      <w:bookmarkStart w:id="86" w:name="_Toc15203"/>
      <w:r/>
      <w:bookmarkStart w:id="87" w:name="_Toc29948"/>
      <w:r/>
      <w:bookmarkStart w:id="88" w:name="_Toc7151"/>
      <w:r/>
      <w:bookmarkStart w:id="89" w:name="_Toc3266"/>
      <w:r/>
      <w:bookmarkStart w:id="90" w:name="_Toc6714"/>
      <w:r/>
      <w:bookmarkStart w:id="91" w:name="_Toc27189"/>
      <w:r>
        <w:rPr>
          <w:rFonts w:hAnsi="宋体"/>
          <w:color w:val="000000"/>
          <w:sz w:val="30"/>
        </w:rPr>
        <w:t xml:space="preserve">第五部分 </w:t>
      </w:r>
      <w:r>
        <w:rPr>
          <w:rFonts w:hAnsi="宋体"/>
          <w:color w:val="000000"/>
          <w:sz w:val="30"/>
        </w:rPr>
        <w:t xml:space="preserve"> </w:t>
      </w:r>
      <w:r>
        <w:rPr>
          <w:rFonts w:hAnsi="宋体"/>
          <w:color w:val="000000"/>
          <w:sz w:val="30"/>
        </w:rPr>
        <w:t xml:space="preserve">集合计划的存续</w:t>
      </w:r>
      <w:bookmarkEnd w:id="78"/>
      <w:r>
        <w:rPr>
          <w:rFonts w:hAnsi="宋体"/>
          <w:color w:val="000000"/>
          <w:sz w:val="30"/>
        </w:rPr>
      </w:r>
      <w:r/>
    </w:p>
    <w:p>
      <w:pPr>
        <w:pStyle w:val="369"/>
        <w:ind w:firstLine="566"/>
        <w:snapToGrid w:val="1"/>
        <w:spacing w:lineRule="auto" w:line="360"/>
        <w:rPr>
          <w:rFonts w:ascii="宋体" w:hAnsi="宋体"/>
          <w:bCs/>
          <w:sz w:val="24"/>
        </w:rPr>
      </w:pPr>
      <w:r>
        <w:rPr>
          <w:rFonts w:ascii="宋体" w:hAnsi="宋体"/>
          <w:bCs/>
          <w:sz w:val="24"/>
        </w:rPr>
      </w:r>
      <w:r/>
    </w:p>
    <w:p>
      <w:pPr>
        <w:pStyle w:val="369"/>
        <w:ind w:firstLine="566"/>
        <w:snapToGrid w:val="1"/>
        <w:spacing w:lineRule="auto" w:line="360"/>
        <w:rPr>
          <w:rFonts w:ascii="宋体" w:hAnsi="宋体"/>
          <w:bCs/>
          <w:sz w:val="24"/>
        </w:rPr>
      </w:pPr>
      <w:r>
        <w:rPr>
          <w:rFonts w:ascii="宋体" w:hAnsi="宋体"/>
          <w:bCs/>
          <w:sz w:val="24"/>
        </w:rPr>
        <w:t xml:space="preserve">集合计划合同生效后，连续20个工作日出现集合计划份额持有人数量不满200人或者集合计划资产净值低于5000万元情形的，管理人应当在定期报告中予以披露；连续60个工作日出现前述情形的，管理人应当</w:t>
      </w:r>
      <w:r>
        <w:rPr>
          <w:rFonts w:ascii="宋体" w:hAnsi="宋体"/>
          <w:sz w:val="24"/>
        </w:rPr>
        <w:t xml:space="preserve">在1</w:t>
      </w:r>
      <w:r>
        <w:rPr>
          <w:rFonts w:ascii="宋体" w:hAnsi="宋体"/>
          <w:sz w:val="24"/>
        </w:rPr>
        <w:t xml:space="preserve">0个工作日内</w:t>
      </w:r>
      <w:r>
        <w:rPr>
          <w:rFonts w:ascii="宋体" w:hAnsi="宋体"/>
          <w:sz w:val="24"/>
        </w:rPr>
        <w:t xml:space="preserve">向</w:t>
      </w:r>
      <w:r>
        <w:rPr>
          <w:rFonts w:ascii="宋体" w:hAnsi="宋体"/>
          <w:bCs/>
          <w:sz w:val="24"/>
        </w:rPr>
        <w:t xml:space="preserve">中国证监会报告并提出解决方案，如</w:t>
      </w:r>
      <w:r>
        <w:rPr>
          <w:rFonts w:ascii="宋体" w:hAnsi="宋体"/>
          <w:sz w:val="24"/>
        </w:rPr>
        <w:t xml:space="preserve">持续运作、</w:t>
      </w:r>
      <w:r>
        <w:rPr>
          <w:rFonts w:ascii="宋体" w:hAnsi="宋体"/>
          <w:bCs/>
          <w:sz w:val="24"/>
        </w:rPr>
        <w:t xml:space="preserve">转换运作方式、与其他集合资产管理计划合并或者终止集合计划合同等，并</w:t>
      </w:r>
      <w:r>
        <w:rPr>
          <w:rFonts w:ascii="宋体" w:hAnsi="宋体"/>
          <w:sz w:val="24"/>
        </w:rPr>
        <w:t xml:space="preserve">在6个</w:t>
      </w:r>
      <w:r>
        <w:rPr>
          <w:rFonts w:ascii="宋体" w:hAnsi="宋体"/>
          <w:sz w:val="24"/>
        </w:rPr>
        <w:t xml:space="preserve">月内</w:t>
      </w:r>
      <w:r>
        <w:rPr>
          <w:rFonts w:ascii="宋体" w:hAnsi="宋体"/>
          <w:bCs/>
          <w:sz w:val="24"/>
        </w:rPr>
        <w:t xml:space="preserve">召集集合计划份额持有人大会。</w:t>
      </w:r>
      <w:r/>
    </w:p>
    <w:p>
      <w:pPr>
        <w:pStyle w:val="369"/>
        <w:ind w:firstLine="566"/>
        <w:snapToGrid w:val="1"/>
        <w:spacing w:lineRule="auto" w:line="360"/>
        <w:rPr>
          <w:rFonts w:ascii="宋体" w:hAnsi="宋体"/>
          <w:bCs/>
          <w:sz w:val="24"/>
        </w:rPr>
      </w:pPr>
      <w:r>
        <w:rPr>
          <w:rFonts w:ascii="宋体" w:hAnsi="宋体"/>
          <w:bCs/>
          <w:sz w:val="24"/>
        </w:rPr>
        <w:t xml:space="preserve">法律法规或监管部门另有规定时，从其规定。</w:t>
      </w:r>
      <w:r/>
    </w:p>
    <w:p>
      <w:pPr>
        <w:pStyle w:val="370"/>
        <w:jc w:val="center"/>
        <w:snapToGrid w:val="1"/>
        <w:spacing w:after="0" w:before="0"/>
        <w:rPr>
          <w:rFonts w:hAnsi="宋体"/>
          <w:color w:val="000000"/>
          <w:sz w:val="30"/>
        </w:rPr>
      </w:pPr>
      <w:r/>
      <w:bookmarkEnd w:id="79"/>
      <w:r/>
      <w:bookmarkEnd w:id="80"/>
      <w:r/>
      <w:bookmarkEnd w:id="81"/>
      <w:r/>
      <w:bookmarkEnd w:id="82"/>
      <w:r/>
      <w:bookmarkEnd w:id="83"/>
      <w:r/>
      <w:bookmarkEnd w:id="84"/>
      <w:r/>
      <w:bookmarkEnd w:id="85"/>
      <w:r/>
      <w:bookmarkEnd w:id="86"/>
      <w:r/>
      <w:bookmarkEnd w:id="87"/>
      <w:r/>
      <w:bookmarkEnd w:id="88"/>
      <w:r/>
      <w:bookmarkEnd w:id="89"/>
      <w:r/>
      <w:bookmarkEnd w:id="90"/>
      <w:r/>
      <w:bookmarkEnd w:id="91"/>
      <w:r/>
      <w:bookmarkStart w:id="92" w:name="_Toc10463"/>
      <w:r/>
      <w:bookmarkStart w:id="93" w:name="_Toc17244"/>
      <w:r/>
      <w:bookmarkStart w:id="94" w:name="_Toc23261"/>
      <w:r/>
      <w:bookmarkStart w:id="95" w:name="_Toc1427"/>
      <w:r/>
      <w:bookmarkStart w:id="96" w:name="_Toc1270"/>
      <w:r/>
      <w:bookmarkStart w:id="97" w:name="_Toc123102453"/>
      <w:r/>
      <w:bookmarkStart w:id="98" w:name="_Toc4003"/>
      <w:r/>
      <w:bookmarkStart w:id="99" w:name="_Toc98560352"/>
      <w:r/>
      <w:bookmarkStart w:id="100" w:name="_Toc123112234"/>
      <w:r/>
      <w:bookmarkStart w:id="101" w:name="_Toc141703886"/>
      <w:r/>
      <w:bookmarkStart w:id="102" w:name="_Toc20733"/>
      <w:r/>
      <w:bookmarkStart w:id="103" w:name="_Toc7920"/>
      <w:r/>
      <w:bookmarkStart w:id="104" w:name="_Toc610"/>
      <w:r/>
      <w:bookmarkStart w:id="105" w:name="_Toc123051452"/>
      <w:r/>
      <w:bookmarkStart w:id="106" w:name="_Toc48649707"/>
      <w:r/>
      <w:bookmarkStart w:id="107" w:name="_Toc23822"/>
      <w:r/>
      <w:bookmarkStart w:id="108" w:name="_Toc139991736"/>
      <w:r/>
      <w:bookmarkStart w:id="109" w:name="_Toc79392606"/>
      <w:r>
        <w:rPr>
          <w:rFonts w:hAnsi="宋体"/>
          <w:color w:val="000000"/>
          <w:sz w:val="30"/>
        </w:rPr>
        <w:br w:type="page"/>
      </w:r>
      <w:bookmarkStart w:id="110" w:name="_Toc58146337"/>
      <w:r>
        <w:rPr>
          <w:rFonts w:hAnsi="宋体"/>
          <w:color w:val="000000"/>
          <w:sz w:val="30"/>
        </w:rPr>
        <w:t xml:space="preserve">第</w:t>
      </w:r>
      <w:r>
        <w:rPr>
          <w:rFonts w:hAnsi="宋体"/>
          <w:color w:val="000000"/>
          <w:sz w:val="30"/>
        </w:rPr>
        <w:t xml:space="preserve">六</w:t>
      </w:r>
      <w:r>
        <w:rPr>
          <w:rFonts w:hAnsi="宋体"/>
          <w:color w:val="000000"/>
          <w:sz w:val="30"/>
        </w:rPr>
        <w:t xml:space="preserve">部分  </w:t>
      </w:r>
      <w:r>
        <w:rPr>
          <w:rFonts w:hAnsi="宋体"/>
          <w:color w:val="000000"/>
          <w:sz w:val="30"/>
        </w:rPr>
        <w:t xml:space="preserve">集合计划</w:t>
      </w:r>
      <w:r>
        <w:rPr>
          <w:rFonts w:hAnsi="宋体"/>
          <w:color w:val="000000"/>
          <w:sz w:val="30"/>
        </w:rPr>
        <w:t xml:space="preserve">份额的申购与赎回</w:t>
      </w:r>
      <w:bookmarkEnd w:id="92"/>
      <w:r/>
      <w:bookmarkEnd w:id="93"/>
      <w:r/>
      <w:bookmarkEnd w:id="94"/>
      <w:r/>
      <w:bookmarkEnd w:id="95"/>
      <w:r/>
      <w:bookmarkEnd w:id="96"/>
      <w:r/>
      <w:bookmarkEnd w:id="97"/>
      <w:r/>
      <w:bookmarkEnd w:id="98"/>
      <w:r/>
      <w:bookmarkEnd w:id="99"/>
      <w:r/>
      <w:bookmarkEnd w:id="100"/>
      <w:r/>
      <w:bookmarkEnd w:id="101"/>
      <w:r/>
      <w:bookmarkEnd w:id="102"/>
      <w:r/>
      <w:bookmarkEnd w:id="103"/>
      <w:r/>
      <w:bookmarkEnd w:id="104"/>
      <w:r/>
      <w:bookmarkEnd w:id="105"/>
      <w:r/>
      <w:bookmarkEnd w:id="106"/>
      <w:r/>
      <w:bookmarkEnd w:id="107"/>
      <w:r/>
      <w:bookmarkEnd w:id="108"/>
      <w:r/>
      <w:bookmarkEnd w:id="109"/>
      <w:r/>
      <w:bookmarkEnd w:id="110"/>
      <w:r>
        <w:rPr>
          <w:rFonts w:hAnsi="宋体"/>
          <w:color w:val="000000"/>
          <w:sz w:val="30"/>
        </w:rPr>
      </w:r>
      <w:r/>
    </w:p>
    <w:p>
      <w:pPr>
        <w:pStyle w:val="369"/>
        <w:ind w:firstLine="54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一、申购和赎回场所</w:t>
      </w:r>
      <w:r/>
    </w:p>
    <w:p>
      <w:pPr>
        <w:pStyle w:val="369"/>
        <w:ind w:firstLine="480"/>
        <w:snapToGrid w:val="1"/>
        <w:spacing w:lineRule="auto" w:line="360"/>
        <w:rPr>
          <w:rFonts w:ascii="宋体" w:hAnsi="宋体"/>
          <w:bCs/>
        </w:rPr>
      </w:pPr>
      <w:r>
        <w:rPr>
          <w:rFonts w:ascii="宋体" w:hAnsi="宋体"/>
          <w:bCs/>
          <w:sz w:val="24"/>
        </w:rPr>
        <w:t xml:space="preserve">本集合计划的申购与赎回将通过销售机构进行。具体的销售</w:t>
      </w:r>
      <w:r>
        <w:rPr>
          <w:rFonts w:ascii="宋体" w:hAnsi="宋体"/>
          <w:bCs/>
          <w:sz w:val="24"/>
        </w:rPr>
        <w:t xml:space="preserve">机构</w:t>
      </w:r>
      <w:r>
        <w:rPr>
          <w:rFonts w:ascii="宋体" w:hAnsi="宋体"/>
          <w:bCs/>
          <w:sz w:val="24"/>
        </w:rPr>
        <w:t xml:space="preserve">将由管理人在招募说明书或</w:t>
      </w:r>
      <w:r>
        <w:rPr>
          <w:rFonts w:ascii="宋体" w:hAnsi="宋体"/>
          <w:bCs/>
          <w:sz w:val="24"/>
        </w:rPr>
        <w:t xml:space="preserve">其</w:t>
      </w:r>
      <w:r>
        <w:rPr>
          <w:rFonts w:ascii="宋体" w:hAnsi="宋体"/>
          <w:sz w:val="24"/>
        </w:rPr>
        <w:t xml:space="preserve">网站</w:t>
      </w:r>
      <w:r>
        <w:rPr>
          <w:rFonts w:ascii="宋体" w:hAnsi="宋体"/>
          <w:bCs/>
          <w:sz w:val="24"/>
        </w:rPr>
        <w:t xml:space="preserve">列明。管理人可根据情况变更或增减销售机构，并</w:t>
      </w:r>
      <w:r>
        <w:rPr>
          <w:rFonts w:ascii="宋体" w:hAnsi="宋体"/>
          <w:sz w:val="24"/>
        </w:rPr>
        <w:t xml:space="preserve">在管理人网站公示</w:t>
      </w:r>
      <w:r>
        <w:rPr>
          <w:rFonts w:ascii="宋体" w:hAnsi="宋体"/>
          <w:bCs/>
          <w:sz w:val="24"/>
        </w:rPr>
        <w:t xml:space="preserve">。</w:t>
      </w:r>
      <w:r>
        <w:rPr>
          <w:rFonts w:ascii="宋体" w:hAnsi="宋体"/>
          <w:bCs/>
          <w:sz w:val="24"/>
        </w:rPr>
        <w:t xml:space="preserve">集合计划</w:t>
      </w:r>
      <w:r>
        <w:rPr>
          <w:rFonts w:ascii="宋体" w:hAnsi="宋体"/>
          <w:bCs/>
          <w:sz w:val="24"/>
        </w:rPr>
        <w:t xml:space="preserve">投资者应当</w:t>
      </w:r>
      <w:r>
        <w:rPr>
          <w:rFonts w:ascii="宋体" w:hAnsi="宋体"/>
          <w:bCs/>
          <w:sz w:val="24"/>
        </w:rPr>
        <w:t xml:space="preserve">在</w:t>
      </w:r>
      <w:r>
        <w:rPr>
          <w:rFonts w:ascii="宋体" w:hAnsi="宋体"/>
          <w:bCs/>
          <w:sz w:val="24"/>
        </w:rPr>
        <w:t xml:space="preserve">销售机构办理</w:t>
      </w:r>
      <w:r>
        <w:rPr>
          <w:rFonts w:ascii="宋体" w:hAnsi="宋体"/>
          <w:bCs/>
          <w:sz w:val="24"/>
        </w:rPr>
        <w:t xml:space="preserve">集合计划</w:t>
      </w:r>
      <w:r>
        <w:rPr>
          <w:rFonts w:ascii="宋体" w:hAnsi="宋体"/>
          <w:bCs/>
          <w:sz w:val="24"/>
        </w:rPr>
        <w:t xml:space="preserve">销售业务的营业场所或按销售机构提供的其他方式办理</w:t>
      </w:r>
      <w:r>
        <w:rPr>
          <w:rFonts w:ascii="宋体" w:hAnsi="宋体"/>
          <w:bCs/>
          <w:sz w:val="24"/>
        </w:rPr>
        <w:t xml:space="preserve">集合计划</w:t>
      </w:r>
      <w:r>
        <w:rPr>
          <w:rFonts w:ascii="宋体" w:hAnsi="宋体"/>
          <w:bCs/>
          <w:sz w:val="24"/>
        </w:rPr>
        <w:t xml:space="preserve">份额的申购与赎回。</w:t>
      </w:r>
      <w:r>
        <w:rPr>
          <w:rFonts w:ascii="宋体" w:hAnsi="宋体"/>
          <w:bCs/>
        </w:rPr>
      </w:r>
      <w:r/>
    </w:p>
    <w:p>
      <w:pPr>
        <w:pStyle w:val="369"/>
        <w:ind w:firstLine="480"/>
        <w:snapToGrid w:val="1"/>
        <w:spacing w:lineRule="auto" w:line="360"/>
        <w:rPr>
          <w:rFonts w:ascii="宋体" w:hAnsi="宋体"/>
          <w:bCs/>
          <w:sz w:val="24"/>
        </w:rPr>
      </w:pPr>
      <w:r>
        <w:rPr>
          <w:rFonts w:ascii="宋体" w:hAnsi="宋体"/>
          <w:bCs/>
          <w:sz w:val="24"/>
        </w:rPr>
        <w:t xml:space="preserve">二、申购和赎回的开放日及时间</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开放日及开放时间</w:t>
      </w:r>
      <w:r/>
    </w:p>
    <w:p>
      <w:pPr>
        <w:pStyle w:val="369"/>
        <w:ind w:firstLine="480"/>
        <w:snapToGrid w:val="1"/>
        <w:spacing w:lineRule="auto" w:line="360"/>
        <w:rPr>
          <w:rFonts w:ascii="宋体" w:hAnsi="宋体"/>
          <w:bCs/>
          <w:sz w:val="24"/>
        </w:rPr>
      </w:pPr>
      <w:r>
        <w:rPr>
          <w:rFonts w:ascii="宋体" w:hAnsi="宋体"/>
          <w:bCs/>
          <w:sz w:val="24"/>
        </w:rPr>
        <w:t xml:space="preserve">投资人在开放日办理集合计划份额的申购，在锁定期期满后（含锁</w:t>
      </w:r>
      <w:r>
        <w:rPr>
          <w:rFonts w:ascii="宋体" w:hAnsi="宋体"/>
          <w:bCs/>
          <w:sz w:val="24"/>
        </w:rPr>
        <w:t xml:space="preserve">定期到期日当日）办理集合计划份额的赎回</w:t>
      </w:r>
      <w:r>
        <w:rPr>
          <w:rFonts w:ascii="宋体" w:hAnsi="宋体"/>
          <w:bCs/>
          <w:sz w:val="24"/>
        </w:rPr>
        <w:t xml:space="preserve">具体办理时间为上海证券交易所、深圳证券交易所的正常交易日的交易时间，但管理人根据法律法规、中国证监会的要求或本合同的规定公告暂停申购、赎回时除外。</w:t>
      </w:r>
      <w:r/>
    </w:p>
    <w:p>
      <w:pPr>
        <w:pStyle w:val="369"/>
        <w:ind w:firstLine="480"/>
        <w:snapToGrid w:val="1"/>
        <w:spacing w:lineRule="auto" w:line="360"/>
        <w:rPr>
          <w:rFonts w:ascii="宋体" w:hAnsi="宋体"/>
          <w:bCs/>
          <w:sz w:val="24"/>
        </w:rPr>
      </w:pPr>
      <w:r>
        <w:rPr>
          <w:rFonts w:ascii="宋体" w:hAnsi="宋体"/>
          <w:bCs/>
          <w:sz w:val="24"/>
        </w:rPr>
        <w:t xml:space="preserve">集合计划合同生效后，若出现新的证券</w:t>
      </w:r>
      <w:r>
        <w:rPr>
          <w:rFonts w:ascii="宋体" w:hAnsi="宋体"/>
          <w:bCs/>
          <w:sz w:val="24"/>
        </w:rPr>
        <w:t xml:space="preserve">/期货</w:t>
      </w:r>
      <w:r>
        <w:rPr>
          <w:rFonts w:ascii="宋体" w:hAnsi="宋体"/>
          <w:bCs/>
          <w:sz w:val="24"/>
        </w:rPr>
        <w:t xml:space="preserve">交易市场、证券</w:t>
      </w:r>
      <w:r>
        <w:rPr>
          <w:rFonts w:ascii="宋体" w:hAnsi="宋体"/>
          <w:bCs/>
          <w:sz w:val="24"/>
        </w:rPr>
        <w:t xml:space="preserve">/期货</w:t>
      </w:r>
      <w:r>
        <w:rPr>
          <w:rFonts w:ascii="宋体" w:hAnsi="宋体"/>
          <w:bCs/>
          <w:sz w:val="24"/>
        </w:rPr>
        <w:t xml:space="preserve">交易所交易时间变更或其他特殊情况，管理人将视情况对前述开放日及开放时间进行相应的调整，但应在实施日前依照《信息披露办法》的有关规定在规定媒介上公告。</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w:t>
      </w:r>
      <w:r>
        <w:rPr>
          <w:rFonts w:ascii="宋体" w:hAnsi="宋体"/>
          <w:bCs/>
          <w:sz w:val="24"/>
        </w:rPr>
        <w:t xml:space="preserve">申购、赎回开始日及业务办理时间</w:t>
      </w:r>
      <w:r/>
    </w:p>
    <w:p>
      <w:pPr>
        <w:pStyle w:val="369"/>
        <w:ind w:firstLine="480"/>
        <w:snapToGrid w:val="1"/>
        <w:spacing w:lineRule="auto" w:line="360"/>
        <w:rPr>
          <w:rFonts w:ascii="宋体" w:hAnsi="宋体"/>
          <w:bCs/>
          <w:sz w:val="24"/>
        </w:rPr>
      </w:pPr>
      <w:r>
        <w:rPr>
          <w:rFonts w:ascii="宋体" w:hAnsi="宋体"/>
          <w:bCs/>
          <w:sz w:val="24"/>
        </w:rPr>
        <w:t xml:space="preserve">管理人自集合计划合同生效之日起不超过</w:t>
      </w:r>
      <w:r>
        <w:rPr>
          <w:rFonts w:ascii="宋体" w:hAnsi="宋体"/>
          <w:bCs/>
          <w:sz w:val="24"/>
        </w:rPr>
        <w:t xml:space="preserve">3</w:t>
      </w:r>
      <w:r>
        <w:rPr>
          <w:rFonts w:ascii="宋体" w:hAnsi="宋体"/>
          <w:bCs/>
          <w:sz w:val="24"/>
        </w:rPr>
        <w:t xml:space="preserve">个月开始办理申购，具体业务办理时间在申购开</w:t>
      </w:r>
      <w:r>
        <w:rPr>
          <w:rFonts w:ascii="宋体" w:hAnsi="宋体"/>
          <w:bCs/>
          <w:sz w:val="24"/>
        </w:rPr>
        <w:t xml:space="preserve">始公告中规定。</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管理人自集合计划合同生效</w:t>
      </w:r>
      <w:r>
        <w:rPr>
          <w:rFonts w:ascii="宋体" w:hAnsi="宋体"/>
          <w:bCs/>
          <w:sz w:val="24"/>
        </w:rPr>
        <w:t xml:space="preserve">之日起不超过</w:t>
      </w:r>
      <w:r>
        <w:rPr>
          <w:rFonts w:ascii="宋体" w:hAnsi="宋体"/>
          <w:bCs/>
          <w:sz w:val="24"/>
        </w:rPr>
        <w:t xml:space="preserve">3</w:t>
      </w:r>
      <w:r>
        <w:rPr>
          <w:rFonts w:ascii="宋体" w:hAnsi="宋体"/>
          <w:bCs/>
          <w:sz w:val="24"/>
        </w:rPr>
        <w:t xml:space="preserve">个月起开始办理赎回，具体业务办理时间在赎回开始公告中规定。对于本合同生效后申购的集合计划份额，仅在锁定期到期日后（含当日），集合计划份额持有人可就该份额提出赎回申请。如果投资人多次申购本集合计划，则其持有的每一份计划份额的锁定期到期日可能不同。</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在确定申购开始与赎回开始时间后，管理人应在申购、赎回开放日前依照《信息披露办法》的有关规定在规定媒介上公告申购与赎回的开始时间。</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管理人不得在集合计划合同约定之外的日期或者时间办理集合计划份额的申购、赎回或者转换</w:t>
      </w:r>
      <w:r>
        <w:rPr>
          <w:rFonts w:ascii="宋体" w:hAnsi="宋体"/>
          <w:bCs/>
          <w:sz w:val="24"/>
        </w:rPr>
        <w:t xml:space="preserve">。投资人在集合计划合同约定之外的日期和时间提出申购、赎回</w:t>
      </w:r>
      <w:r>
        <w:rPr>
          <w:rFonts w:ascii="宋体" w:hAnsi="宋体"/>
          <w:bCs/>
          <w:sz w:val="24"/>
        </w:rPr>
        <w:t xml:space="preserve">或转换申请且登记机构确认接受的，该申购、赎回价格为下一开放日集合计划份额申购、赎回的价格。</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三、申购与赎回的原则</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“未知价”原则，即申购、赎回价格以申请当日收市后计算的集合计划份额净值为基准进行计算；</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w:t>
      </w:r>
      <w:r>
        <w:rPr>
          <w:rFonts w:ascii="宋体" w:hAnsi="宋体"/>
          <w:bCs/>
          <w:sz w:val="24"/>
        </w:rPr>
        <w:t xml:space="preserve">“金额申购、份额赎回”原则，即申购以金额申请，赎回以份额申请；</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w:t>
      </w:r>
      <w:r>
        <w:rPr>
          <w:rFonts w:ascii="宋体" w:hAnsi="宋体"/>
          <w:bCs/>
          <w:sz w:val="24"/>
        </w:rPr>
        <w:t xml:space="preserve">当日的申购与赎回申请可以在管理人规定的时间以内撤销；</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w:t>
      </w:r>
      <w:r>
        <w:rPr>
          <w:rFonts w:ascii="宋体" w:hAnsi="宋体"/>
          <w:bCs/>
          <w:sz w:val="24"/>
        </w:rPr>
        <w:t xml:space="preserve">赎回遵循“先进先出”原则，即按照投资人</w:t>
      </w:r>
      <w:r>
        <w:rPr>
          <w:rFonts w:ascii="宋体" w:hAnsi="宋体"/>
          <w:bCs/>
          <w:sz w:val="24"/>
        </w:rPr>
        <w:t xml:space="preserve">持有集合计划份额登记日期</w:t>
      </w:r>
      <w:r>
        <w:rPr>
          <w:rFonts w:ascii="宋体" w:hAnsi="宋体"/>
          <w:bCs/>
          <w:sz w:val="24"/>
        </w:rPr>
        <w:t xml:space="preserve">的先后次序进行顺序赎回；</w:t>
      </w:r>
      <w:r/>
    </w:p>
    <w:p>
      <w:pPr>
        <w:pStyle w:val="369"/>
        <w:ind w:firstLine="480"/>
        <w:snapToGrid w:val="1"/>
        <w:spacing w:lineRule="auto" w:line="360"/>
        <w:rPr>
          <w:rFonts w:ascii="宋体" w:hAnsi="宋体"/>
          <w:bCs/>
          <w:sz w:val="24"/>
        </w:rPr>
      </w:pPr>
      <w:r>
        <w:rPr>
          <w:rFonts w:ascii="宋体" w:hAnsi="宋体"/>
          <w:bCs/>
          <w:sz w:val="24"/>
        </w:rPr>
        <w:t xml:space="preserve">5、办理申购、赎回业务时，应当遵</w:t>
      </w:r>
      <w:r>
        <w:rPr>
          <w:rFonts w:ascii="宋体" w:hAnsi="宋体"/>
          <w:bCs/>
          <w:sz w:val="24"/>
        </w:rPr>
        <w:t xml:space="preserve">循集合计划份额持有人利益优先原则</w:t>
      </w:r>
      <w:r>
        <w:rPr>
          <w:rFonts w:ascii="宋体" w:hAnsi="宋体"/>
          <w:bCs/>
          <w:sz w:val="24"/>
        </w:rPr>
        <w:t xml:space="preserve">，确保投资者的合法权益不受损害并得到公平对待</w:t>
      </w:r>
      <w:r>
        <w:rPr>
          <w:rFonts w:ascii="宋体" w:hAnsi="宋体"/>
          <w:bCs/>
          <w:sz w:val="24"/>
        </w:rPr>
        <w:t xml:space="preserve">。</w:t>
      </w:r>
      <w:r/>
    </w:p>
    <w:p>
      <w:pPr>
        <w:pStyle w:val="369"/>
        <w:ind w:firstLine="480"/>
        <w:snapToGrid w:val="1"/>
        <w:spacing w:lineRule="auto" w:line="360"/>
        <w:rPr>
          <w:rFonts w:ascii="宋体" w:hAnsi="宋体"/>
          <w:bCs/>
        </w:rPr>
      </w:pPr>
      <w:r>
        <w:rPr>
          <w:rFonts w:ascii="宋体" w:hAnsi="宋体"/>
          <w:bCs/>
          <w:sz w:val="24"/>
        </w:rPr>
        <w:t xml:space="preserve">管理人可在法律法规允许且对份额持有人无实质性不利影响的情况下，对上述原则进行调整。管理人必须在新规则开始实施前依照《信息披露办法》的有关规定在规定媒介上公告。</w:t>
      </w:r>
      <w:r>
        <w:rPr>
          <w:rFonts w:ascii="宋体" w:hAnsi="宋体"/>
          <w:bCs/>
        </w:rPr>
      </w:r>
      <w:r/>
    </w:p>
    <w:p>
      <w:pPr>
        <w:pStyle w:val="369"/>
        <w:ind w:firstLine="480"/>
        <w:snapToGrid w:val="1"/>
        <w:spacing w:lineRule="auto" w:line="360"/>
        <w:rPr>
          <w:rFonts w:ascii="宋体" w:hAnsi="宋体"/>
          <w:bCs/>
          <w:sz w:val="24"/>
        </w:rPr>
      </w:pPr>
      <w:r>
        <w:rPr>
          <w:rFonts w:ascii="宋体" w:hAnsi="宋体"/>
          <w:bCs/>
          <w:sz w:val="24"/>
        </w:rPr>
        <w:t xml:space="preserve">四、申购与赎回的程序</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申购和赎回的申请方式</w:t>
      </w:r>
      <w:r/>
    </w:p>
    <w:p>
      <w:pPr>
        <w:pStyle w:val="369"/>
        <w:ind w:firstLine="480"/>
        <w:snapToGrid w:val="1"/>
        <w:spacing w:lineRule="auto" w:line="360"/>
        <w:rPr>
          <w:rFonts w:ascii="宋体" w:hAnsi="宋体"/>
          <w:bCs/>
          <w:sz w:val="24"/>
        </w:rPr>
      </w:pPr>
      <w:r>
        <w:rPr>
          <w:rFonts w:ascii="宋体" w:hAnsi="宋体"/>
          <w:bCs/>
          <w:sz w:val="24"/>
        </w:rPr>
        <w:t xml:space="preserve">投资人必须根据销售机构规定的程序，在开放日的具体业务办理时间内提出申购或赎回的申请。</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w:t>
      </w:r>
      <w:r>
        <w:rPr>
          <w:rFonts w:ascii="宋体" w:hAnsi="宋体"/>
          <w:bCs/>
          <w:sz w:val="24"/>
        </w:rPr>
        <w:t xml:space="preserve">申购和赎回的款项支付</w:t>
      </w:r>
      <w:r/>
    </w:p>
    <w:p>
      <w:pPr>
        <w:pStyle w:val="369"/>
        <w:ind w:firstLine="480"/>
        <w:snapToGrid w:val="1"/>
        <w:spacing w:lineRule="auto" w:line="360"/>
        <w:rPr>
          <w:rFonts w:ascii="宋体" w:hAnsi="宋体"/>
          <w:bCs/>
          <w:sz w:val="24"/>
        </w:rPr>
      </w:pPr>
      <w:r>
        <w:rPr>
          <w:rFonts w:ascii="宋体" w:hAnsi="宋体"/>
          <w:bCs/>
          <w:sz w:val="24"/>
          <w:lang w:val="zh-CN"/>
        </w:rPr>
        <w:t xml:space="preserve">投资人申购</w:t>
      </w:r>
      <w:r>
        <w:rPr>
          <w:rFonts w:ascii="宋体" w:hAnsi="宋体"/>
          <w:bCs/>
          <w:sz w:val="24"/>
        </w:rPr>
        <w:t xml:space="preserve">集合计划</w:t>
      </w:r>
      <w:r>
        <w:rPr>
          <w:rFonts w:ascii="宋体" w:hAnsi="宋体"/>
          <w:bCs/>
          <w:sz w:val="24"/>
          <w:lang w:val="zh-CN"/>
        </w:rPr>
        <w:t xml:space="preserve">份额时，必须全额交付申购款项，投资人交付</w:t>
      </w:r>
      <w:r>
        <w:rPr>
          <w:rFonts w:ascii="宋体" w:hAnsi="宋体"/>
          <w:bCs/>
          <w:sz w:val="24"/>
          <w:lang w:val="zh-CN"/>
        </w:rPr>
        <w:t xml:space="preserve">申购</w:t>
      </w:r>
      <w:r>
        <w:rPr>
          <w:rFonts w:ascii="宋体" w:hAnsi="宋体"/>
          <w:bCs/>
          <w:sz w:val="24"/>
          <w:lang w:val="zh-CN"/>
        </w:rPr>
        <w:t xml:space="preserve">款项，申购成立；登记机构确认</w:t>
      </w:r>
      <w:r>
        <w:rPr>
          <w:rFonts w:ascii="宋体" w:hAnsi="宋体"/>
          <w:bCs/>
          <w:sz w:val="24"/>
          <w:lang w:val="zh-CN"/>
        </w:rPr>
        <w:t xml:space="preserve">集合计划</w:t>
      </w:r>
      <w:r>
        <w:rPr>
          <w:rFonts w:ascii="宋体" w:hAnsi="宋体"/>
          <w:bCs/>
          <w:sz w:val="24"/>
          <w:lang w:val="zh-CN"/>
        </w:rPr>
        <w:t xml:space="preserve">份额时，申购生</w:t>
      </w:r>
      <w:r>
        <w:rPr>
          <w:rFonts w:ascii="宋体" w:hAnsi="宋体"/>
          <w:bCs/>
          <w:sz w:val="24"/>
          <w:lang w:val="zh-CN"/>
        </w:rPr>
        <w:t xml:space="preserve">效。</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集合计划份额持有人递交赎回申请，赎回成立；登</w:t>
      </w:r>
      <w:r>
        <w:rPr>
          <w:rFonts w:ascii="宋体" w:hAnsi="宋体"/>
          <w:bCs/>
          <w:sz w:val="24"/>
        </w:rPr>
        <w:t xml:space="preserve">记机构确认赎回时，赎回生效。投资者赎回申请生效后</w:t>
      </w:r>
      <w:r>
        <w:rPr>
          <w:rFonts w:ascii="宋体" w:hAnsi="宋体"/>
          <w:bCs/>
          <w:sz w:val="24"/>
        </w:rPr>
        <w:t xml:space="preserve">，</w:t>
      </w:r>
      <w:r>
        <w:rPr>
          <w:rFonts w:ascii="宋体" w:hAnsi="宋体"/>
          <w:bCs/>
          <w:sz w:val="24"/>
        </w:rPr>
        <w:t xml:space="preserve">管理人将在T＋</w:t>
      </w:r>
      <w:r>
        <w:rPr>
          <w:rFonts w:ascii="宋体" w:hAnsi="宋体"/>
          <w:bCs/>
          <w:sz w:val="24"/>
        </w:rPr>
        <w:t xml:space="preserve">7</w:t>
      </w:r>
      <w:r>
        <w:rPr>
          <w:rFonts w:ascii="宋体" w:hAnsi="宋体"/>
          <w:bCs/>
          <w:sz w:val="24"/>
        </w:rPr>
        <w:t xml:space="preserve">日(包括该日)内支付赎回款项。</w:t>
      </w:r>
      <w:r>
        <w:rPr>
          <w:rFonts w:ascii="宋体" w:hAnsi="宋体"/>
          <w:color w:val="000000"/>
          <w:sz w:val="24"/>
        </w:rPr>
        <w:t xml:space="preserve">遇证券/期货交易所或交易市场数据传输延迟、通讯系统故障、银行数据交换系统故障</w:t>
      </w:r>
      <w:r>
        <w:rPr>
          <w:rFonts w:ascii="宋体" w:hAnsi="宋体"/>
          <w:bCs/>
          <w:sz w:val="24"/>
        </w:rPr>
        <w:t xml:space="preserve">或</w:t>
      </w:r>
      <w:r>
        <w:rPr>
          <w:rFonts w:ascii="宋体" w:hAnsi="宋体"/>
          <w:color w:val="000000"/>
          <w:sz w:val="24"/>
        </w:rPr>
        <w:t xml:space="preserve">其他非管理人及托管人所能控制的因素影响业务处理流程时，赎回款项顺延至上述情形消除后的下一个工作日划出。</w:t>
      </w:r>
      <w:r>
        <w:rPr>
          <w:rFonts w:ascii="宋体" w:hAnsi="宋体"/>
          <w:bCs/>
          <w:sz w:val="24"/>
        </w:rPr>
        <w:t xml:space="preserve">在发生巨额赎回</w:t>
      </w:r>
      <w:r>
        <w:rPr>
          <w:rFonts w:ascii="宋体" w:hAnsi="宋体"/>
          <w:color w:val="000000"/>
          <w:sz w:val="24"/>
        </w:rPr>
        <w:t xml:space="preserve">或本合同载明的其他暂停赎回或延缓支付赎回款项的情形</w:t>
      </w:r>
      <w:r>
        <w:rPr>
          <w:rFonts w:ascii="宋体" w:hAnsi="宋体"/>
          <w:bCs/>
          <w:sz w:val="24"/>
        </w:rPr>
        <w:t xml:space="preserve">时，款项的支付办法参照本合同有关条款处理。</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w:t>
      </w:r>
      <w:r>
        <w:rPr>
          <w:rFonts w:ascii="宋体" w:hAnsi="宋体"/>
          <w:bCs/>
          <w:sz w:val="24"/>
        </w:rPr>
        <w:t xml:space="preserve">申购和赎回申请的确认</w:t>
      </w:r>
      <w:r/>
    </w:p>
    <w:p>
      <w:pPr>
        <w:pStyle w:val="369"/>
        <w:ind w:firstLine="480"/>
        <w:snapToGrid w:val="1"/>
        <w:spacing w:lineRule="auto" w:line="360"/>
        <w:rPr>
          <w:rFonts w:ascii="宋体" w:hAnsi="宋体"/>
          <w:bCs/>
          <w:sz w:val="24"/>
        </w:rPr>
      </w:pPr>
      <w:r>
        <w:rPr>
          <w:rFonts w:ascii="宋体" w:hAnsi="宋体"/>
          <w:bCs/>
          <w:sz w:val="24"/>
        </w:rPr>
        <w:t xml:space="preserve">管理人应以交易时间结束前受理</w:t>
      </w:r>
      <w:r>
        <w:rPr>
          <w:rFonts w:ascii="宋体" w:hAnsi="宋体"/>
          <w:bCs/>
          <w:sz w:val="24"/>
        </w:rPr>
        <w:t xml:space="preserve">有效</w:t>
      </w:r>
      <w:r>
        <w:rPr>
          <w:rFonts w:ascii="宋体" w:hAnsi="宋体"/>
          <w:bCs/>
          <w:sz w:val="24"/>
        </w:rPr>
        <w:t xml:space="preserve">申购和赎回申请的当天</w:t>
      </w:r>
      <w:r>
        <w:rPr>
          <w:rFonts w:ascii="宋体" w:hAnsi="宋体"/>
          <w:bCs/>
          <w:sz w:val="24"/>
        </w:rPr>
        <w:t xml:space="preserve">作为申购或赎回申请日(T日)，在正常情况下，登记机构在T</w:t>
      </w:r>
      <w:r>
        <w:rPr>
          <w:rFonts w:ascii="宋体" w:hAnsi="宋体"/>
          <w:bCs/>
          <w:sz w:val="24"/>
        </w:rPr>
        <w:t xml:space="preserve">+1日内对该交易的有效性进行确认。T日提交的有效申请，投资人</w:t>
      </w:r>
      <w:r>
        <w:rPr>
          <w:rFonts w:ascii="宋体" w:hAnsi="宋体"/>
          <w:bCs/>
          <w:sz w:val="24"/>
        </w:rPr>
        <w:t xml:space="preserve">应</w:t>
      </w:r>
      <w:r>
        <w:rPr>
          <w:rFonts w:ascii="宋体" w:hAnsi="宋体"/>
          <w:bCs/>
          <w:sz w:val="24"/>
        </w:rPr>
        <w:t xml:space="preserve">在T+2日后(包括该日)</w:t>
      </w:r>
      <w:r>
        <w:rPr>
          <w:rFonts w:ascii="宋体" w:hAnsi="宋体"/>
          <w:bCs/>
          <w:sz w:val="24"/>
        </w:rPr>
        <w:t xml:space="preserve">及时</w:t>
      </w:r>
      <w:r>
        <w:rPr>
          <w:rFonts w:ascii="宋体" w:hAnsi="宋体"/>
          <w:bCs/>
          <w:sz w:val="24"/>
        </w:rPr>
        <w:t xml:space="preserve">到销售网点柜台或以销售机构规定的其他方式查询申请的确认情况。若申购不成功，则申购款项退还给投资人。</w:t>
      </w:r>
      <w:r/>
    </w:p>
    <w:p>
      <w:pPr>
        <w:pStyle w:val="369"/>
        <w:ind w:firstLine="480"/>
        <w:snapToGrid w:val="1"/>
        <w:spacing w:lineRule="auto" w:line="360"/>
        <w:rPr>
          <w:rFonts w:ascii="宋体" w:hAnsi="宋体"/>
          <w:bCs/>
          <w:sz w:val="24"/>
        </w:rPr>
      </w:pPr>
      <w:r>
        <w:rPr>
          <w:rFonts w:ascii="宋体" w:hAnsi="宋体"/>
          <w:bCs/>
          <w:sz w:val="24"/>
        </w:rPr>
        <w:t xml:space="preserve">集合计划销售机构对申购、赎回申请的受理并不代表该申请一定成功，而仅代表销售机构确实接收到申请。申购、赎回的确认以登记机构的确认结果为准。对于申请的确认情况，投资人应及时查询</w:t>
      </w:r>
      <w:r>
        <w:rPr>
          <w:rFonts w:ascii="宋体" w:hAnsi="宋体"/>
          <w:color w:val="000000"/>
          <w:sz w:val="24"/>
        </w:rPr>
        <w:t xml:space="preserve">并妥善行使合法权利</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五、申购和赎回的数量限制</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管理人可以规定投资人首次申购和每次申购的最</w:t>
      </w:r>
      <w:r>
        <w:rPr>
          <w:rFonts w:ascii="宋体" w:hAnsi="宋体"/>
          <w:bCs/>
          <w:sz w:val="24"/>
        </w:rPr>
        <w:t xml:space="preserve">低金额以及每次赎回的最低份额，具体规定请参见招募说明书</w:t>
      </w:r>
      <w:r>
        <w:rPr>
          <w:rFonts w:ascii="宋体" w:hAnsi="宋体"/>
          <w:bCs/>
          <w:sz w:val="24"/>
        </w:rPr>
        <w:t xml:space="preserve">或相关公告</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w:t>
      </w:r>
      <w:r>
        <w:rPr>
          <w:rFonts w:ascii="宋体" w:hAnsi="宋体"/>
          <w:bCs/>
          <w:sz w:val="24"/>
        </w:rPr>
        <w:t xml:space="preserve">管理人可以规定投资人每个</w:t>
      </w:r>
      <w:r>
        <w:rPr>
          <w:rFonts w:ascii="宋体" w:hAnsi="宋体"/>
          <w:bCs/>
          <w:sz w:val="24"/>
        </w:rPr>
        <w:t xml:space="preserve">集合计划</w:t>
      </w:r>
      <w:r>
        <w:rPr>
          <w:rFonts w:ascii="宋体" w:hAnsi="宋体"/>
          <w:bCs/>
          <w:sz w:val="24"/>
        </w:rPr>
        <w:t xml:space="preserve">交易账户的最低</w:t>
      </w:r>
      <w:r>
        <w:rPr>
          <w:rFonts w:ascii="宋体" w:hAnsi="宋体"/>
          <w:bCs/>
          <w:sz w:val="24"/>
        </w:rPr>
        <w:t xml:space="preserve">集合计划</w:t>
      </w:r>
      <w:r>
        <w:rPr>
          <w:rFonts w:ascii="宋体" w:hAnsi="宋体"/>
          <w:bCs/>
          <w:sz w:val="24"/>
        </w:rPr>
        <w:t xml:space="preserve">份额余额，具体规定请参见招募说明书</w:t>
      </w:r>
      <w:r>
        <w:rPr>
          <w:rFonts w:ascii="宋体" w:hAnsi="宋体"/>
          <w:bCs/>
          <w:sz w:val="24"/>
        </w:rPr>
        <w:t xml:space="preserve">或相关公告</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w:t>
      </w:r>
      <w:r>
        <w:rPr>
          <w:rFonts w:ascii="宋体" w:hAnsi="宋体"/>
          <w:bCs/>
          <w:sz w:val="24"/>
        </w:rPr>
        <w:t xml:space="preserve">管理人可以规定单个投资人累计持有的</w:t>
      </w:r>
      <w:r>
        <w:rPr>
          <w:rFonts w:ascii="宋体" w:hAnsi="宋体"/>
          <w:bCs/>
          <w:sz w:val="24"/>
        </w:rPr>
        <w:t xml:space="preserve">集合计划</w:t>
      </w:r>
      <w:r>
        <w:rPr>
          <w:rFonts w:ascii="宋体" w:hAnsi="宋体"/>
          <w:bCs/>
          <w:sz w:val="24"/>
        </w:rPr>
        <w:t xml:space="preserve">份额上限，具体规定请参见招募说明书</w:t>
      </w:r>
      <w:r>
        <w:rPr>
          <w:rFonts w:ascii="宋体" w:hAnsi="宋体"/>
          <w:bCs/>
          <w:sz w:val="24"/>
        </w:rPr>
        <w:t xml:space="preserve">或相关公告</w:t>
      </w:r>
      <w:r>
        <w:rPr>
          <w:rFonts w:ascii="宋体" w:hAnsi="宋体"/>
          <w:bCs/>
          <w:sz w:val="24"/>
        </w:rPr>
        <w:t xml:space="preserve">。</w:t>
      </w:r>
      <w:r/>
    </w:p>
    <w:p>
      <w:pPr>
        <w:pStyle w:val="369"/>
        <w:ind w:firstLine="480"/>
        <w:snapToGrid w:val="1"/>
        <w:spacing w:lineRule="auto" w:line="360"/>
        <w:rPr>
          <w:rFonts w:ascii="宋体" w:hAnsi="宋体"/>
          <w:sz w:val="24"/>
          <w:lang w:val="zh-CN"/>
        </w:rPr>
      </w:pPr>
      <w:r>
        <w:rPr>
          <w:rFonts w:ascii="宋体" w:hAnsi="宋体"/>
          <w:sz w:val="24"/>
          <w:lang w:val="zh-CN"/>
        </w:rPr>
        <w:t xml:space="preserve">4、管理人可以规定单一投资者单日或单笔申购金额上限，具体规定请参见招募说明书或相关公告。 </w:t>
      </w:r>
      <w:r/>
    </w:p>
    <w:p>
      <w:pPr>
        <w:pStyle w:val="369"/>
        <w:ind w:firstLine="480"/>
        <w:snapToGrid w:val="1"/>
        <w:spacing w:lineRule="auto" w:line="360"/>
        <w:rPr>
          <w:rFonts w:ascii="宋体" w:hAnsi="宋体"/>
          <w:sz w:val="24"/>
        </w:rPr>
      </w:pPr>
      <w:r>
        <w:rPr>
          <w:rFonts w:ascii="宋体" w:hAnsi="宋体"/>
          <w:sz w:val="24"/>
          <w:lang w:val="zh-CN"/>
        </w:rPr>
        <w:t xml:space="preserve">5、管理人可以规定</w:t>
      </w:r>
      <w:r>
        <w:rPr>
          <w:rFonts w:ascii="宋体" w:hAnsi="宋体"/>
          <w:sz w:val="24"/>
        </w:rPr>
        <w:t xml:space="preserve">本</w:t>
      </w:r>
      <w:r>
        <w:rPr>
          <w:rFonts w:ascii="宋体" w:hAnsi="宋体"/>
          <w:sz w:val="24"/>
        </w:rPr>
        <w:t xml:space="preserve">集合计划</w:t>
      </w:r>
      <w:r>
        <w:rPr>
          <w:rFonts w:ascii="宋体" w:hAnsi="宋体"/>
          <w:sz w:val="24"/>
          <w:lang w:val="zh-CN"/>
        </w:rPr>
        <w:t xml:space="preserve">的总规模限额、当日申购金额限制和单日净申购比例上限，具体规定请参见招募说明书或相关公告。</w:t>
      </w:r>
      <w:r>
        <w:rPr>
          <w:rFonts w:ascii="宋体" w:hAnsi="宋体"/>
          <w:sz w:val="24"/>
        </w:rPr>
      </w:r>
      <w:r/>
    </w:p>
    <w:p>
      <w:pPr>
        <w:pStyle w:val="369"/>
        <w:ind w:firstLine="480"/>
        <w:snapToGrid w:val="1"/>
        <w:spacing w:lineRule="auto" w:line="360"/>
        <w:rPr>
          <w:rFonts w:ascii="宋体" w:hAnsi="宋体"/>
          <w:bCs/>
          <w:sz w:val="24"/>
        </w:rPr>
      </w:pPr>
      <w:r>
        <w:rPr>
          <w:rFonts w:ascii="宋体" w:hAnsi="宋体"/>
          <w:bCs/>
          <w:sz w:val="24"/>
        </w:rPr>
        <w:t xml:space="preserve">6、当接受申购申请对存量集合计划份</w:t>
      </w:r>
      <w:r>
        <w:rPr>
          <w:rFonts w:ascii="宋体" w:hAnsi="宋体"/>
          <w:bCs/>
          <w:sz w:val="24"/>
        </w:rPr>
        <w:t xml:space="preserve">额持有人利益构成潜在重大不利影响时，管理人应当采取设定单</w:t>
      </w:r>
      <w:r>
        <w:rPr>
          <w:rFonts w:ascii="宋体" w:hAnsi="宋体"/>
          <w:bCs/>
          <w:sz w:val="24"/>
        </w:rPr>
        <w:t xml:space="preserve">一投资者申购金额上限或</w:t>
      </w:r>
      <w:r>
        <w:rPr>
          <w:rFonts w:ascii="宋体" w:hAnsi="宋体"/>
          <w:bCs/>
          <w:sz w:val="24"/>
        </w:rPr>
        <w:t xml:space="preserve">集合计划</w:t>
      </w:r>
      <w:r>
        <w:rPr>
          <w:rFonts w:ascii="宋体" w:hAnsi="宋体"/>
          <w:bCs/>
          <w:sz w:val="24"/>
        </w:rPr>
        <w:t xml:space="preserve">单日净申购比例上限、拒绝大额申购、暂停</w:t>
      </w:r>
      <w:r>
        <w:rPr>
          <w:rFonts w:ascii="宋体" w:hAnsi="宋体"/>
          <w:bCs/>
          <w:sz w:val="24"/>
        </w:rPr>
        <w:t xml:space="preserve">集合计划</w:t>
      </w:r>
      <w:r>
        <w:rPr>
          <w:rFonts w:ascii="宋体" w:hAnsi="宋体"/>
          <w:bCs/>
          <w:sz w:val="24"/>
        </w:rPr>
        <w:t xml:space="preserve">申购等措施，切实保护存量集合计划份额持有人的合法权益。管理人基于投资运作与风险控制的需要，可采取上述措施对</w:t>
      </w:r>
      <w:r>
        <w:rPr>
          <w:rFonts w:ascii="宋体" w:hAnsi="宋体"/>
          <w:bCs/>
          <w:sz w:val="24"/>
        </w:rPr>
        <w:t xml:space="preserve">集合计划</w:t>
      </w:r>
      <w:r>
        <w:rPr>
          <w:rFonts w:ascii="宋体" w:hAnsi="宋体"/>
          <w:bCs/>
          <w:sz w:val="24"/>
        </w:rPr>
        <w:t xml:space="preserve">规模予以控制。具体见管理人相关公告。</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7</w:t>
      </w:r>
      <w:r>
        <w:rPr>
          <w:rFonts w:ascii="宋体" w:hAnsi="宋体"/>
          <w:bCs/>
          <w:sz w:val="24"/>
        </w:rPr>
        <w:t xml:space="preserve">、</w:t>
      </w:r>
      <w:r>
        <w:rPr>
          <w:rFonts w:ascii="宋体" w:hAnsi="宋体"/>
          <w:bCs/>
          <w:sz w:val="24"/>
        </w:rPr>
        <w:t xml:space="preserve">管理人可在法律法规允许的情况下，调整上述规定申购金额和赎回份额</w:t>
      </w:r>
      <w:r>
        <w:rPr>
          <w:rFonts w:ascii="宋体" w:hAnsi="宋体"/>
          <w:bCs/>
          <w:sz w:val="24"/>
        </w:rPr>
        <w:t xml:space="preserve">等</w:t>
      </w:r>
      <w:r>
        <w:rPr>
          <w:rFonts w:ascii="宋体" w:hAnsi="宋体"/>
          <w:bCs/>
          <w:sz w:val="24"/>
        </w:rPr>
        <w:t xml:space="preserve">数量限制。管理人必须在调整前依照《信息披露办法》的有关规定在规定媒介上公告。</w:t>
      </w:r>
      <w:r/>
    </w:p>
    <w:p>
      <w:pPr>
        <w:pStyle w:val="369"/>
        <w:ind w:firstLine="480"/>
        <w:snapToGrid w:val="1"/>
        <w:spacing w:lineRule="auto" w:line="360"/>
        <w:rPr>
          <w:rFonts w:ascii="宋体" w:hAnsi="宋体"/>
          <w:bCs/>
          <w:sz w:val="24"/>
        </w:rPr>
      </w:pPr>
      <w:r>
        <w:rPr>
          <w:rFonts w:ascii="宋体" w:hAnsi="宋体"/>
          <w:bCs/>
          <w:sz w:val="24"/>
        </w:rPr>
        <w:t xml:space="preserve">六、申购和赎回的价格、费用及其用途</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本集合计划份额净值的计算，保留到小数点后</w:t>
      </w:r>
      <w:r>
        <w:rPr>
          <w:rFonts w:ascii="宋体" w:hAnsi="宋体"/>
          <w:bCs/>
          <w:sz w:val="24"/>
        </w:rPr>
        <w:t xml:space="preserve">4</w:t>
      </w:r>
      <w:r>
        <w:rPr>
          <w:rFonts w:ascii="宋体" w:hAnsi="宋体"/>
          <w:bCs/>
          <w:sz w:val="24"/>
        </w:rPr>
        <w:t xml:space="preserve">位，小数点后第</w:t>
      </w:r>
      <w:r>
        <w:rPr>
          <w:rFonts w:ascii="宋体" w:hAnsi="宋体"/>
          <w:bCs/>
          <w:sz w:val="24"/>
        </w:rPr>
        <w:t xml:space="preserve">5</w:t>
      </w:r>
      <w:r>
        <w:rPr>
          <w:rFonts w:ascii="宋体" w:hAnsi="宋体"/>
          <w:bCs/>
          <w:sz w:val="24"/>
        </w:rPr>
        <w:t xml:space="preserve">位四舍五入，由此产生的收</w:t>
      </w:r>
      <w:r>
        <w:rPr>
          <w:rFonts w:ascii="宋体" w:hAnsi="宋体"/>
          <w:bCs/>
          <w:sz w:val="24"/>
        </w:rPr>
        <w:t xml:space="preserve">益或损失由</w:t>
      </w:r>
      <w:r>
        <w:rPr>
          <w:rFonts w:ascii="宋体" w:hAnsi="宋体"/>
          <w:bCs/>
          <w:sz w:val="24"/>
        </w:rPr>
        <w:t xml:space="preserve">集合计划</w:t>
      </w:r>
      <w:r>
        <w:rPr>
          <w:rFonts w:ascii="宋体" w:hAnsi="宋体"/>
          <w:bCs/>
          <w:sz w:val="24"/>
        </w:rPr>
        <w:t xml:space="preserve">财产承担。T日的集合计划份额净值在当天收市后计算，并</w:t>
      </w:r>
      <w:r>
        <w:rPr>
          <w:rFonts w:ascii="宋体" w:hAnsi="宋体"/>
          <w:bCs/>
          <w:sz w:val="24"/>
        </w:rPr>
        <w:t xml:space="preserve">在T</w:t>
      </w:r>
      <w:r>
        <w:rPr>
          <w:rFonts w:ascii="宋体" w:hAnsi="宋体"/>
          <w:bCs/>
          <w:sz w:val="24"/>
        </w:rPr>
        <w:t xml:space="preserve">+1日内公告。遇特殊情况，</w:t>
      </w:r>
      <w:r>
        <w:rPr>
          <w:rFonts w:ascii="宋体" w:hAnsi="宋体"/>
          <w:bCs/>
          <w:sz w:val="24"/>
        </w:rPr>
        <w:t xml:space="preserve">经履行适当程序</w:t>
      </w:r>
      <w:r>
        <w:rPr>
          <w:rFonts w:ascii="宋体" w:hAnsi="宋体"/>
          <w:bCs/>
          <w:sz w:val="24"/>
        </w:rPr>
        <w:t xml:space="preserve">，可以适当延迟计算或公告。</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w:t>
      </w:r>
      <w:r>
        <w:rPr>
          <w:rFonts w:ascii="宋体" w:hAnsi="宋体"/>
          <w:bCs/>
          <w:sz w:val="24"/>
        </w:rPr>
        <w:t xml:space="preserve">申购份额的计算及余额的处理方式：本集合计划申购份额的计算详见《招募说明书》。本集合计划的申购费率由管理人决定，并在招募说明书</w:t>
      </w:r>
      <w:r>
        <w:rPr>
          <w:rFonts w:ascii="宋体" w:hAnsi="宋体"/>
          <w:sz w:val="24"/>
        </w:rPr>
        <w:t xml:space="preserve">及产品资料概要</w:t>
      </w:r>
      <w:r>
        <w:rPr>
          <w:rFonts w:ascii="宋体" w:hAnsi="宋体"/>
          <w:bCs/>
          <w:sz w:val="24"/>
        </w:rPr>
        <w:t xml:space="preserve">中列示。申购的有效份额为净申购金额除以当日的集合计划份额净值，有效份额单位为份，上述计算结果均按四舍五入方法，保留到小数点后</w:t>
      </w:r>
      <w:r>
        <w:rPr>
          <w:rFonts w:ascii="宋体" w:hAnsi="宋体"/>
          <w:bCs/>
          <w:sz w:val="24"/>
        </w:rPr>
        <w:t xml:space="preserve">2</w:t>
      </w:r>
      <w:r>
        <w:rPr>
          <w:rFonts w:ascii="宋体" w:hAnsi="宋体"/>
          <w:bCs/>
          <w:sz w:val="24"/>
        </w:rPr>
        <w:t xml:space="preserve">位，由此产生的收益或损失由</w:t>
      </w:r>
      <w:r>
        <w:rPr>
          <w:rFonts w:ascii="宋体" w:hAnsi="宋体"/>
          <w:bCs/>
          <w:sz w:val="24"/>
        </w:rPr>
        <w:t xml:space="preserve">集合计划</w:t>
      </w:r>
      <w:r>
        <w:rPr>
          <w:rFonts w:ascii="宋体" w:hAnsi="宋体"/>
          <w:bCs/>
          <w:sz w:val="24"/>
        </w:rPr>
        <w:t xml:space="preserve">财产承担。</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w:t>
      </w:r>
      <w:r>
        <w:rPr>
          <w:rFonts w:ascii="宋体" w:hAnsi="宋体"/>
          <w:bCs/>
          <w:sz w:val="24"/>
        </w:rPr>
        <w:t xml:space="preserve">赎回金额的计</w:t>
      </w:r>
      <w:r>
        <w:rPr>
          <w:rFonts w:ascii="宋体" w:hAnsi="宋体"/>
          <w:bCs/>
          <w:sz w:val="24"/>
        </w:rPr>
        <w:t xml:space="preserve">算及处理方式：本集合计划赎回金额的计算详见《招募说明书》</w:t>
      </w:r>
      <w:r>
        <w:rPr>
          <w:rFonts w:ascii="宋体" w:hAnsi="宋体"/>
          <w:bCs/>
          <w:sz w:val="24"/>
        </w:rPr>
        <w:t xml:space="preserve">。本集合计划的赎回费率由管理人决定，并在招募说明书</w:t>
      </w:r>
      <w:r>
        <w:rPr>
          <w:rFonts w:ascii="宋体" w:hAnsi="宋体"/>
          <w:sz w:val="24"/>
        </w:rPr>
        <w:t xml:space="preserve">及产品资料概要</w:t>
      </w:r>
      <w:r>
        <w:rPr>
          <w:rFonts w:ascii="宋体" w:hAnsi="宋体"/>
          <w:bCs/>
          <w:sz w:val="24"/>
        </w:rPr>
        <w:t xml:space="preserve">中列示。赎回金额为按实际确认的有效赎回份额乘以当日集合计划份额净值并扣除</w:t>
      </w:r>
      <w:r>
        <w:rPr>
          <w:rFonts w:ascii="宋体" w:hAnsi="宋体"/>
          <w:bCs/>
          <w:sz w:val="24"/>
        </w:rPr>
        <w:t xml:space="preserve">其他</w:t>
      </w:r>
      <w:r>
        <w:rPr>
          <w:rFonts w:ascii="宋体" w:hAnsi="宋体"/>
          <w:bCs/>
          <w:sz w:val="24"/>
        </w:rPr>
        <w:t xml:space="preserve">相应的费用，赎回金额单位为元。上述计算结果均按四舍五入方法，保留到小数点后</w:t>
      </w:r>
      <w:r>
        <w:rPr>
          <w:rFonts w:ascii="宋体" w:hAnsi="宋体"/>
          <w:bCs/>
          <w:sz w:val="24"/>
        </w:rPr>
        <w:t xml:space="preserve">2</w:t>
      </w:r>
      <w:r>
        <w:rPr>
          <w:rFonts w:ascii="宋体" w:hAnsi="宋体"/>
          <w:bCs/>
          <w:sz w:val="24"/>
        </w:rPr>
        <w:t xml:space="preserve">位，由此产生的收益或损失由</w:t>
      </w:r>
      <w:r>
        <w:rPr>
          <w:rFonts w:ascii="宋体" w:hAnsi="宋体"/>
          <w:bCs/>
          <w:sz w:val="24"/>
        </w:rPr>
        <w:t xml:space="preserve">集合计划</w:t>
      </w:r>
      <w:r>
        <w:rPr>
          <w:rFonts w:ascii="宋体" w:hAnsi="宋体"/>
          <w:bCs/>
          <w:sz w:val="24"/>
        </w:rPr>
        <w:t xml:space="preserve">财产承担。</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w:t>
      </w:r>
      <w:r>
        <w:rPr>
          <w:rFonts w:ascii="宋体" w:hAnsi="宋体"/>
          <w:bCs/>
          <w:sz w:val="24"/>
        </w:rPr>
        <w:t xml:space="preserve">申购费用由投资人承担，不列入</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w:t>
      </w:r>
      <w:r>
        <w:rPr>
          <w:rFonts w:ascii="宋体" w:hAnsi="宋体"/>
          <w:bCs/>
          <w:sz w:val="24"/>
        </w:rPr>
        <w:t xml:space="preserve">赎回费用由赎回</w:t>
      </w:r>
      <w:r>
        <w:rPr>
          <w:rFonts w:ascii="宋体" w:hAnsi="宋体"/>
          <w:bCs/>
          <w:sz w:val="24"/>
        </w:rPr>
        <w:t xml:space="preserve">集合计划</w:t>
      </w:r>
      <w:r>
        <w:rPr>
          <w:rFonts w:ascii="宋体" w:hAnsi="宋体"/>
          <w:bCs/>
          <w:sz w:val="24"/>
        </w:rPr>
        <w:t xml:space="preserve">份额的集合计划份额持有人承担，在集合计划份额持有人赎回</w:t>
      </w:r>
      <w:r>
        <w:rPr>
          <w:rFonts w:ascii="宋体" w:hAnsi="宋体"/>
          <w:bCs/>
          <w:sz w:val="24"/>
        </w:rPr>
        <w:t xml:space="preserve">集合计划</w:t>
      </w:r>
      <w:r>
        <w:rPr>
          <w:rFonts w:ascii="宋体" w:hAnsi="宋体"/>
          <w:bCs/>
          <w:sz w:val="24"/>
        </w:rPr>
        <w:t xml:space="preserve">份额时收取。赎回费用归入</w:t>
      </w:r>
      <w:r>
        <w:rPr>
          <w:rFonts w:ascii="宋体" w:hAnsi="宋体"/>
          <w:bCs/>
          <w:sz w:val="24"/>
        </w:rPr>
        <w:t xml:space="preserve">集合计划</w:t>
      </w:r>
      <w:r>
        <w:rPr>
          <w:rFonts w:ascii="宋体" w:hAnsi="宋体"/>
          <w:bCs/>
          <w:sz w:val="24"/>
        </w:rPr>
        <w:t xml:space="preserve">财产的比例</w:t>
      </w:r>
      <w:r>
        <w:rPr>
          <w:rFonts w:ascii="宋体" w:hAnsi="宋体"/>
          <w:bCs/>
          <w:sz w:val="24"/>
        </w:rPr>
        <w:t xml:space="preserve">依照相关法律法规</w:t>
      </w:r>
      <w:r>
        <w:rPr>
          <w:rFonts w:ascii="宋体" w:hAnsi="宋体"/>
          <w:bCs/>
          <w:sz w:val="24"/>
        </w:rPr>
        <w:t xml:space="preserve">设定，具体</w:t>
      </w:r>
      <w:r>
        <w:rPr>
          <w:rFonts w:ascii="宋体" w:hAnsi="宋体"/>
          <w:bCs/>
          <w:sz w:val="24"/>
        </w:rPr>
        <w:t xml:space="preserve">见招募说明书</w:t>
      </w:r>
      <w:r>
        <w:rPr>
          <w:rFonts w:ascii="宋体" w:hAnsi="宋体"/>
          <w:bCs/>
          <w:sz w:val="24"/>
        </w:rPr>
        <w:t xml:space="preserve">的规定</w:t>
      </w:r>
      <w:r>
        <w:rPr>
          <w:rFonts w:ascii="宋体" w:hAnsi="宋体"/>
          <w:bCs/>
          <w:sz w:val="24"/>
        </w:rPr>
        <w:t xml:space="preserve">，未归入</w:t>
      </w:r>
      <w:r>
        <w:rPr>
          <w:rFonts w:ascii="宋体" w:hAnsi="宋体"/>
          <w:bCs/>
          <w:sz w:val="24"/>
        </w:rPr>
        <w:t xml:space="preserve">集合计划</w:t>
      </w:r>
      <w:r>
        <w:rPr>
          <w:rFonts w:ascii="宋体" w:hAnsi="宋体"/>
          <w:bCs/>
          <w:sz w:val="24"/>
        </w:rPr>
        <w:t xml:space="preserve">财产的部分用于支付登记费和其他必要的手续费。其中</w:t>
      </w:r>
      <w:r>
        <w:rPr>
          <w:rFonts w:ascii="宋体" w:hAnsi="宋体"/>
          <w:bCs/>
          <w:sz w:val="24"/>
        </w:rPr>
        <w:t xml:space="preserve">，</w:t>
      </w:r>
      <w:r>
        <w:rPr>
          <w:rFonts w:ascii="宋体" w:hAnsi="宋体"/>
          <w:bCs/>
          <w:sz w:val="24"/>
        </w:rPr>
        <w:t xml:space="preserve">对持续持有期少于7日的投资者收取不低于1.5%的赎回费</w:t>
      </w:r>
      <w:r>
        <w:rPr>
          <w:rFonts w:ascii="宋体" w:hAnsi="宋体"/>
          <w:bCs/>
          <w:sz w:val="24"/>
        </w:rPr>
        <w:t xml:space="preserve">，</w:t>
      </w:r>
      <w:r>
        <w:rPr>
          <w:rFonts w:ascii="宋体" w:hAnsi="宋体"/>
          <w:bCs/>
          <w:sz w:val="24"/>
        </w:rPr>
        <w:t xml:space="preserve">并全额计入</w:t>
      </w:r>
      <w:r>
        <w:rPr>
          <w:rFonts w:ascii="宋体" w:hAnsi="宋体"/>
          <w:bCs/>
          <w:sz w:val="24"/>
        </w:rPr>
        <w:t xml:space="preserve">集合计划</w:t>
      </w:r>
      <w:r>
        <w:rPr>
          <w:rFonts w:ascii="宋体" w:hAnsi="宋体"/>
          <w:bCs/>
          <w:sz w:val="24"/>
        </w:rPr>
        <w:t xml:space="preserve">财产</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6</w:t>
      </w:r>
      <w:r>
        <w:rPr>
          <w:rFonts w:ascii="宋体" w:hAnsi="宋体"/>
          <w:bCs/>
          <w:sz w:val="24"/>
        </w:rPr>
        <w:t xml:space="preserve">、</w:t>
      </w:r>
      <w:r>
        <w:rPr>
          <w:rFonts w:ascii="宋体" w:hAnsi="宋体"/>
          <w:bCs/>
          <w:sz w:val="24"/>
        </w:rPr>
        <w:t xml:space="preserve">本集合计划的申购费率、申购份额具体的计算方法、赎回费率、赎回金额具体的计算方法和收费方式由管理人根据集合计划合同的规定确定，并在招募说明书中列示。管理人可以在集合计划合同约定的范围内调整费率或收费方式，并最迟应于新的费率或收费方式实施日前依照《信息披露办法》的有关规定在规定媒介上公告。</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7、当本集合计划发生大额申购或赎回情形时，管</w:t>
      </w:r>
      <w:r>
        <w:rPr>
          <w:rFonts w:ascii="宋体" w:hAnsi="宋体"/>
          <w:bCs/>
          <w:sz w:val="24"/>
        </w:rPr>
        <w:t xml:space="preserve">理人可以采用摆动定价机制，以确保</w:t>
      </w:r>
      <w:r>
        <w:rPr>
          <w:rFonts w:ascii="宋体" w:hAnsi="宋体"/>
          <w:bCs/>
          <w:sz w:val="24"/>
        </w:rPr>
        <w:t xml:space="preserve">集合计划</w:t>
      </w:r>
      <w:r>
        <w:rPr>
          <w:rFonts w:ascii="宋体" w:hAnsi="宋体"/>
          <w:bCs/>
          <w:sz w:val="24"/>
        </w:rPr>
        <w:t xml:space="preserve">估值的公平性。具体处理原则与操作规范遵循相关法律法规以及监管部门、自律规则的规定</w:t>
      </w:r>
      <w:r>
        <w:rPr>
          <w:rFonts w:ascii="宋体" w:hAnsi="宋体"/>
          <w:sz w:val="24"/>
        </w:rPr>
        <w:t xml:space="preserve">，</w:t>
      </w:r>
      <w:bookmarkStart w:id="111" w:name="_Hlk32591477"/>
      <w:r>
        <w:rPr>
          <w:rFonts w:ascii="宋体" w:hAnsi="宋体"/>
          <w:sz w:val="24"/>
        </w:rPr>
        <w:t xml:space="preserve">具体见管理人届时的相关公告</w:t>
      </w:r>
      <w:bookmarkEnd w:id="111"/>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8、</w:t>
      </w:r>
      <w:r>
        <w:rPr>
          <w:rFonts w:ascii="宋体" w:hAnsi="宋体"/>
          <w:sz w:val="24"/>
          <w:szCs w:val="24"/>
        </w:rPr>
        <w:t xml:space="preserve">管理人可以在不违反法律法规规定及集合计划合同约定且对存量集合计划份额持有人利益无实质性不利影响的情形下根据市场情况制定</w:t>
      </w:r>
      <w:r>
        <w:rPr>
          <w:rFonts w:ascii="宋体" w:hAnsi="宋体"/>
          <w:bCs/>
          <w:sz w:val="24"/>
        </w:rPr>
        <w:t xml:space="preserve">集合计划</w:t>
      </w:r>
      <w:r>
        <w:rPr>
          <w:rFonts w:ascii="宋体" w:hAnsi="宋体"/>
          <w:sz w:val="24"/>
          <w:szCs w:val="24"/>
        </w:rPr>
        <w:t xml:space="preserve">促销计划，定期或不定期地开展</w:t>
      </w:r>
      <w:r>
        <w:rPr>
          <w:rFonts w:ascii="宋体" w:hAnsi="宋体"/>
          <w:bCs/>
          <w:sz w:val="24"/>
        </w:rPr>
        <w:t xml:space="preserve">集合计划</w:t>
      </w:r>
      <w:r>
        <w:rPr>
          <w:rFonts w:ascii="宋体" w:hAnsi="宋体"/>
          <w:sz w:val="24"/>
          <w:szCs w:val="24"/>
        </w:rPr>
        <w:t xml:space="preserve">促销活动。在</w:t>
      </w:r>
      <w:r>
        <w:rPr>
          <w:rFonts w:ascii="宋体" w:hAnsi="宋体"/>
          <w:bCs/>
          <w:sz w:val="24"/>
        </w:rPr>
        <w:t xml:space="preserve">集合计划</w:t>
      </w:r>
      <w:r>
        <w:rPr>
          <w:rFonts w:ascii="宋体" w:hAnsi="宋体"/>
          <w:sz w:val="24"/>
          <w:szCs w:val="24"/>
        </w:rPr>
        <w:t xml:space="preserve">促销活动期间，按相关监管部门要求履行必要手续后，管理人可以适当调低</w:t>
      </w:r>
      <w:r>
        <w:rPr>
          <w:rFonts w:ascii="宋体" w:hAnsi="宋体"/>
          <w:bCs/>
          <w:sz w:val="24"/>
        </w:rPr>
        <w:t xml:space="preserve">集合计划</w:t>
      </w:r>
      <w:r>
        <w:rPr>
          <w:rFonts w:ascii="宋体" w:hAnsi="宋体"/>
          <w:sz w:val="24"/>
          <w:szCs w:val="24"/>
        </w:rPr>
        <w:t xml:space="preserve">销售费用。</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七</w:t>
      </w:r>
      <w:r>
        <w:rPr>
          <w:rFonts w:ascii="宋体" w:hAnsi="宋体"/>
          <w:bCs/>
          <w:sz w:val="24"/>
        </w:rPr>
        <w:t xml:space="preserve">、</w:t>
      </w:r>
      <w:r>
        <w:rPr>
          <w:rFonts w:ascii="宋体" w:hAnsi="宋体"/>
          <w:bCs/>
          <w:sz w:val="24"/>
        </w:rPr>
        <w:t xml:space="preserve">拒绝或暂停申购的情形</w:t>
      </w:r>
      <w:r/>
    </w:p>
    <w:p>
      <w:pPr>
        <w:pStyle w:val="369"/>
        <w:ind w:firstLine="480"/>
        <w:snapToGrid w:val="1"/>
        <w:spacing w:lineRule="auto" w:line="360"/>
        <w:rPr>
          <w:rFonts w:ascii="宋体" w:hAnsi="宋体"/>
          <w:bCs/>
          <w:sz w:val="24"/>
        </w:rPr>
      </w:pPr>
      <w:r>
        <w:rPr>
          <w:rFonts w:ascii="宋体" w:hAnsi="宋体"/>
          <w:bCs/>
          <w:sz w:val="24"/>
        </w:rPr>
        <w:t xml:space="preserve">发生下列情况时，管理人可拒绝或暂停接受投资人的申购申请：</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因不可抗力导致</w:t>
      </w:r>
      <w:r>
        <w:rPr>
          <w:rFonts w:ascii="宋体" w:hAnsi="宋体"/>
          <w:bCs/>
          <w:sz w:val="24"/>
        </w:rPr>
        <w:t xml:space="preserve">集合计划</w:t>
      </w:r>
      <w:r>
        <w:rPr>
          <w:rFonts w:ascii="宋体" w:hAnsi="宋体"/>
          <w:bCs/>
          <w:sz w:val="24"/>
        </w:rPr>
        <w:t xml:space="preserve">无法正常运作</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2、发生集合计划合同规定的暂停集合计划资产估值情况时，管理人可暂停或拒绝接受投资人的申购申请。</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证券</w:t>
      </w:r>
      <w:r>
        <w:rPr>
          <w:rFonts w:ascii="宋体" w:hAnsi="宋体"/>
          <w:bCs/>
          <w:sz w:val="24"/>
        </w:rPr>
        <w:t xml:space="preserve">/期货</w:t>
      </w:r>
      <w:r>
        <w:rPr>
          <w:rFonts w:ascii="宋体" w:hAnsi="宋体"/>
          <w:bCs/>
          <w:sz w:val="24"/>
        </w:rPr>
        <w:t xml:space="preserve">交易所交易时间非正常停市，导致管理人无法计算当日集合计划资产净值。</w:t>
      </w:r>
      <w:r/>
    </w:p>
    <w:p>
      <w:pPr>
        <w:pStyle w:val="369"/>
        <w:ind w:firstLine="480"/>
        <w:snapToGrid w:val="1"/>
        <w:spacing w:lineRule="auto" w:line="360"/>
        <w:rPr>
          <w:rFonts w:ascii="宋体" w:hAnsi="宋体"/>
          <w:bCs/>
          <w:sz w:val="24"/>
        </w:rPr>
      </w:pPr>
      <w:r/>
      <w:bookmarkStart w:id="112" w:name="_Hlt70481650"/>
      <w:r/>
      <w:bookmarkEnd w:id="112"/>
      <w:r>
        <w:rPr>
          <w:rFonts w:ascii="宋体" w:hAnsi="宋体"/>
          <w:bCs/>
          <w:sz w:val="24"/>
        </w:rPr>
        <w:t xml:space="preserve">4、</w:t>
      </w:r>
      <w:r>
        <w:rPr>
          <w:rFonts w:ascii="宋体" w:hAnsi="宋体"/>
          <w:bCs/>
          <w:sz w:val="24"/>
        </w:rPr>
        <w:t xml:space="preserve">接受某笔或某些申购申请可能会影响或损害现有集合计划份额持有人利益时。</w:t>
      </w:r>
      <w:r/>
    </w:p>
    <w:p>
      <w:pPr>
        <w:pStyle w:val="369"/>
        <w:ind w:firstLine="480"/>
        <w:snapToGrid w:val="1"/>
        <w:spacing w:lineRule="auto" w:line="360"/>
        <w:rPr>
          <w:rFonts w:ascii="宋体" w:hAnsi="宋体"/>
          <w:bCs/>
          <w:sz w:val="24"/>
        </w:rPr>
      </w:pPr>
      <w:r>
        <w:rPr>
          <w:rFonts w:ascii="宋体" w:hAnsi="宋体"/>
          <w:bCs/>
          <w:sz w:val="24"/>
        </w:rPr>
        <w:t xml:space="preserve">5、集合计划</w:t>
      </w:r>
      <w:r>
        <w:rPr>
          <w:rFonts w:ascii="宋体" w:hAnsi="宋体"/>
          <w:bCs/>
          <w:sz w:val="24"/>
        </w:rPr>
        <w:t xml:space="preserve">资产规模过大，使管理人无法找到合适的投资品种，或其他可能对</w:t>
      </w:r>
      <w:r>
        <w:rPr>
          <w:rFonts w:ascii="宋体" w:hAnsi="宋体"/>
          <w:bCs/>
          <w:sz w:val="24"/>
        </w:rPr>
        <w:t xml:space="preserve">集合计划</w:t>
      </w:r>
      <w:r>
        <w:rPr>
          <w:rFonts w:ascii="宋体" w:hAnsi="宋体"/>
          <w:bCs/>
          <w:sz w:val="24"/>
        </w:rPr>
        <w:t xml:space="preserve">业绩产生负面影响，或发生其他损害现有集合计划份额持有人利益的情形。</w:t>
      </w:r>
      <w:r/>
    </w:p>
    <w:p>
      <w:pPr>
        <w:pStyle w:val="369"/>
        <w:ind w:firstLine="480"/>
        <w:snapToGrid w:val="1"/>
        <w:spacing w:lineRule="auto" w:line="360"/>
        <w:rPr>
          <w:rFonts w:ascii="宋体" w:hAnsi="宋体"/>
          <w:bCs/>
          <w:sz w:val="24"/>
        </w:rPr>
      </w:pPr>
      <w:r>
        <w:rPr>
          <w:rFonts w:ascii="宋体" w:hAnsi="宋体"/>
          <w:bCs/>
          <w:sz w:val="24"/>
        </w:rPr>
        <w:t xml:space="preserve">6、当前一估值日集合计划资产净值50%以上的资产出现无可参考的活跃市场价格且</w:t>
      </w:r>
      <w:r>
        <w:rPr>
          <w:rFonts w:ascii="宋体" w:hAnsi="宋体"/>
          <w:bCs/>
          <w:sz w:val="24"/>
        </w:rPr>
        <w:t xml:space="preserve">采用估值技术仍导致公允价值存在重大不确定性时，经与托管人</w:t>
      </w:r>
      <w:r>
        <w:rPr>
          <w:rFonts w:ascii="宋体" w:hAnsi="宋体"/>
          <w:bCs/>
          <w:sz w:val="24"/>
        </w:rPr>
        <w:t xml:space="preserve">协商确认后，管理人应当暂停接受集合计划申购申请。</w:t>
      </w:r>
      <w:r/>
    </w:p>
    <w:p>
      <w:pPr>
        <w:pStyle w:val="369"/>
        <w:ind w:firstLine="480"/>
        <w:snapToGrid w:val="1"/>
        <w:spacing w:lineRule="auto" w:line="360"/>
        <w:rPr>
          <w:rFonts w:ascii="宋体" w:hAnsi="宋体"/>
          <w:bCs/>
          <w:sz w:val="24"/>
        </w:rPr>
      </w:pPr>
      <w:r>
        <w:rPr>
          <w:rFonts w:ascii="宋体" w:hAnsi="宋体"/>
          <w:bCs/>
          <w:sz w:val="24"/>
        </w:rPr>
        <w:t xml:space="preserve">7、管理人接受某笔或者某些申购申请有可能导致单一投资者持有集合计划份额的比例达到或者超过50%，或者变相规避50%集中度的情形。</w:t>
      </w:r>
      <w:r/>
    </w:p>
    <w:p>
      <w:pPr>
        <w:pStyle w:val="369"/>
        <w:ind w:firstLine="480"/>
        <w:snapToGrid w:val="1"/>
        <w:spacing w:lineRule="auto" w:line="360"/>
        <w:rPr>
          <w:rFonts w:ascii="宋体" w:hAnsi="宋体"/>
          <w:bCs/>
          <w:sz w:val="24"/>
        </w:rPr>
      </w:pPr>
      <w:r>
        <w:rPr>
          <w:rFonts w:ascii="宋体" w:hAnsi="宋体"/>
          <w:bCs/>
          <w:sz w:val="24"/>
        </w:rPr>
        <w:t xml:space="preserve">8、</w:t>
      </w:r>
      <w:r>
        <w:rPr>
          <w:rFonts w:ascii="宋体" w:hAnsi="宋体"/>
          <w:bCs/>
          <w:sz w:val="24"/>
        </w:rPr>
        <w:t xml:space="preserve">法律法规规定或中国证监会认定的其他情形。</w:t>
      </w:r>
      <w:r/>
    </w:p>
    <w:p>
      <w:pPr>
        <w:pStyle w:val="369"/>
        <w:ind w:firstLine="480"/>
        <w:snapToGrid w:val="1"/>
        <w:spacing w:lineRule="auto" w:line="360"/>
        <w:rPr>
          <w:rFonts w:ascii="宋体" w:hAnsi="宋体"/>
          <w:bCs/>
        </w:rPr>
      </w:pPr>
      <w:r>
        <w:rPr>
          <w:rFonts w:ascii="宋体" w:hAnsi="宋体"/>
          <w:bCs/>
          <w:sz w:val="24"/>
        </w:rPr>
        <w:t xml:space="preserve">发生上述第1、2、</w:t>
      </w:r>
      <w:r>
        <w:rPr>
          <w:rFonts w:ascii="宋体" w:hAnsi="宋体"/>
          <w:bCs/>
          <w:sz w:val="24"/>
        </w:rPr>
        <w:t xml:space="preserve">3</w:t>
      </w:r>
      <w:r>
        <w:rPr>
          <w:rFonts w:ascii="宋体" w:hAnsi="宋体"/>
          <w:bCs/>
          <w:sz w:val="24"/>
        </w:rPr>
        <w:t xml:space="preserve">、5</w:t>
      </w:r>
      <w:r>
        <w:rPr>
          <w:rFonts w:ascii="宋体" w:hAnsi="宋体"/>
          <w:bCs/>
          <w:sz w:val="24"/>
        </w:rPr>
        <w:t xml:space="preserve">、6、8</w:t>
      </w:r>
      <w:r>
        <w:rPr>
          <w:rFonts w:ascii="宋体" w:hAnsi="宋体"/>
          <w:bCs/>
          <w:sz w:val="24"/>
        </w:rPr>
        <w:t xml:space="preserve">项暂停申购情形之一且管理人决定暂停接受投资人申购申请时，管理人应当根据有关规定在规定媒介上刊登暂停申购公告。</w:t>
      </w:r>
      <w:r>
        <w:rPr>
          <w:rFonts w:ascii="宋体" w:hAnsi="宋体"/>
          <w:bCs/>
          <w:sz w:val="24"/>
        </w:rPr>
        <w:t xml:space="preserve">发生上述第</w:t>
      </w:r>
      <w:r>
        <w:rPr>
          <w:rFonts w:ascii="宋体" w:hAnsi="宋体"/>
          <w:bCs/>
          <w:sz w:val="24"/>
        </w:rPr>
        <w:t xml:space="preserve">7</w:t>
      </w:r>
      <w:r>
        <w:rPr>
          <w:rFonts w:ascii="宋体" w:hAnsi="宋体"/>
          <w:bCs/>
          <w:sz w:val="24"/>
        </w:rPr>
        <w:t xml:space="preserve">项情形时，管理人可以采取比例确认等方式对该投资人的申购申请进行限制，管理人有权</w:t>
      </w:r>
      <w:r>
        <w:rPr>
          <w:rFonts w:ascii="宋体" w:hAnsi="宋体"/>
          <w:bCs/>
          <w:sz w:val="24"/>
        </w:rPr>
        <w:t xml:space="preserve">拒绝该等全部或者部分申购申请。</w:t>
      </w:r>
      <w:r>
        <w:rPr>
          <w:rFonts w:ascii="宋体" w:hAnsi="宋体"/>
          <w:bCs/>
          <w:sz w:val="24"/>
        </w:rPr>
        <w:t xml:space="preserve">如果投资人的申购申请被</w:t>
      </w:r>
      <w:r>
        <w:rPr>
          <w:rFonts w:ascii="宋体" w:hAnsi="宋体"/>
          <w:bCs/>
          <w:sz w:val="24"/>
        </w:rPr>
        <w:t xml:space="preserve">全部或部分</w:t>
      </w:r>
      <w:r>
        <w:rPr>
          <w:rFonts w:ascii="宋体" w:hAnsi="宋体"/>
          <w:bCs/>
          <w:sz w:val="24"/>
        </w:rPr>
        <w:t xml:space="preserve">拒绝，被拒绝</w:t>
      </w:r>
      <w:r>
        <w:rPr>
          <w:rFonts w:ascii="宋体" w:hAnsi="宋体"/>
          <w:bCs/>
          <w:sz w:val="24"/>
        </w:rPr>
        <w:t xml:space="preserve">部分</w:t>
      </w:r>
      <w:r>
        <w:rPr>
          <w:rFonts w:ascii="宋体" w:hAnsi="宋体"/>
          <w:bCs/>
          <w:sz w:val="24"/>
        </w:rPr>
        <w:t xml:space="preserve">的申购款项将退还给投资人。在暂停申购的情况消除时，管理人应及时恢复申购业务的办理。</w:t>
      </w:r>
      <w:r>
        <w:rPr>
          <w:rFonts w:ascii="宋体" w:hAnsi="宋体"/>
          <w:bCs/>
        </w:rPr>
      </w:r>
      <w:r/>
    </w:p>
    <w:p>
      <w:pPr>
        <w:pStyle w:val="369"/>
        <w:ind w:firstLine="480"/>
        <w:snapToGrid w:val="1"/>
        <w:spacing w:lineRule="auto" w:line="360"/>
        <w:rPr>
          <w:rFonts w:ascii="宋体" w:hAnsi="宋体"/>
          <w:bCs/>
          <w:sz w:val="24"/>
        </w:rPr>
      </w:pPr>
      <w:r>
        <w:rPr>
          <w:rFonts w:ascii="宋体" w:hAnsi="宋体"/>
          <w:bCs/>
          <w:sz w:val="24"/>
        </w:rPr>
        <w:t xml:space="preserve">八</w:t>
      </w:r>
      <w:r>
        <w:rPr>
          <w:rFonts w:ascii="宋体" w:hAnsi="宋体"/>
          <w:bCs/>
          <w:sz w:val="24"/>
        </w:rPr>
        <w:t xml:space="preserve">、</w:t>
      </w:r>
      <w:r>
        <w:rPr>
          <w:rFonts w:ascii="宋体" w:hAnsi="宋体"/>
          <w:bCs/>
          <w:sz w:val="24"/>
        </w:rPr>
        <w:t xml:space="preserve">暂停赎回或延缓支付赎回款项的情形</w:t>
      </w:r>
      <w:r/>
    </w:p>
    <w:p>
      <w:pPr>
        <w:pStyle w:val="369"/>
        <w:ind w:firstLine="480"/>
        <w:snapToGrid w:val="1"/>
        <w:spacing w:lineRule="auto" w:line="360"/>
        <w:rPr>
          <w:rFonts w:ascii="宋体" w:hAnsi="宋体"/>
          <w:bCs/>
          <w:sz w:val="24"/>
        </w:rPr>
      </w:pPr>
      <w:r>
        <w:rPr>
          <w:rFonts w:ascii="宋体" w:hAnsi="宋体"/>
          <w:bCs/>
          <w:sz w:val="24"/>
        </w:rPr>
        <w:t xml:space="preserve">发生下列情形时，管理人可暂停接受投资人的赎回申请或延缓支付赎回款项：</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因不可抗力导致管理人不能支付赎回款项。</w:t>
      </w:r>
      <w:r/>
    </w:p>
    <w:p>
      <w:pPr>
        <w:pStyle w:val="369"/>
        <w:ind w:firstLine="480"/>
        <w:snapToGrid w:val="1"/>
        <w:spacing w:lineRule="auto" w:line="360"/>
        <w:rPr>
          <w:rFonts w:ascii="宋体" w:hAnsi="宋体"/>
          <w:bCs/>
          <w:sz w:val="24"/>
        </w:rPr>
      </w:pPr>
      <w:r>
        <w:rPr>
          <w:rFonts w:ascii="宋体" w:hAnsi="宋体"/>
          <w:bCs/>
          <w:sz w:val="24"/>
        </w:rPr>
        <w:t xml:space="preserve">2、发生集合计划合同规定的暂停集合计划资产估值情况时，管理人可暂停接受投资人的赎回申请或延缓支付赎回款项。</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证券</w:t>
      </w:r>
      <w:r>
        <w:rPr>
          <w:rFonts w:ascii="宋体" w:hAnsi="宋体"/>
          <w:bCs/>
          <w:sz w:val="24"/>
        </w:rPr>
        <w:t xml:space="preserve">/期货</w:t>
      </w:r>
      <w:r>
        <w:rPr>
          <w:rFonts w:ascii="宋体" w:hAnsi="宋体"/>
          <w:bCs/>
          <w:sz w:val="24"/>
        </w:rPr>
        <w:t xml:space="preserve">交易所交易时间非正常停市，导致管理人无法计算当日</w:t>
      </w:r>
      <w:bookmarkStart w:id="113" w:name="_Hlt152500890"/>
      <w:r>
        <w:rPr>
          <w:rFonts w:ascii="宋体" w:hAnsi="宋体"/>
          <w:bCs/>
          <w:sz w:val="24"/>
        </w:rPr>
        <w:t xml:space="preserve">集合计划资产净值。</w:t>
      </w:r>
      <w:r/>
    </w:p>
    <w:p>
      <w:pPr>
        <w:pStyle w:val="369"/>
        <w:ind w:firstLine="480"/>
        <w:snapToGrid w:val="1"/>
        <w:spacing w:lineRule="auto" w:line="360"/>
        <w:rPr>
          <w:rFonts w:ascii="宋体" w:hAnsi="宋体"/>
          <w:bCs/>
          <w:sz w:val="24"/>
        </w:rPr>
      </w:pPr>
      <w:r>
        <w:rPr>
          <w:rFonts w:ascii="宋体" w:hAnsi="宋体"/>
          <w:bCs/>
          <w:sz w:val="24"/>
        </w:rPr>
        <w:t xml:space="preserve">4、连续</w:t>
      </w:r>
      <w:r>
        <w:rPr>
          <w:rFonts w:ascii="宋体" w:hAnsi="宋体"/>
          <w:bCs/>
          <w:sz w:val="24"/>
        </w:rPr>
        <w:t xml:space="preserve">两个或两个以上开放日发生巨额赎回。</w:t>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发生继续接受赎回申请将损害现有集合计划份额持有人利益的情形时，管理人可暂停接受集合计划份额持有人的赎回申请。</w:t>
      </w:r>
      <w:r/>
    </w:p>
    <w:p>
      <w:pPr>
        <w:pStyle w:val="369"/>
        <w:ind w:firstLine="480"/>
        <w:snapToGrid w:val="1"/>
        <w:spacing w:lineRule="auto" w:line="360"/>
        <w:rPr>
          <w:rFonts w:ascii="宋体" w:hAnsi="宋体"/>
          <w:bCs/>
        </w:rPr>
      </w:pPr>
      <w:r>
        <w:rPr>
          <w:rFonts w:ascii="宋体" w:hAnsi="宋体"/>
          <w:bCs/>
          <w:sz w:val="24"/>
        </w:rPr>
        <w:t xml:space="preserve">6</w:t>
      </w:r>
      <w:r>
        <w:rPr>
          <w:rFonts w:ascii="宋体" w:hAnsi="宋体"/>
          <w:bCs/>
          <w:sz w:val="24"/>
        </w:rPr>
        <w:t xml:space="preserve">、当前一估值日集合计划资产净值50%以上的资产出现无可参考的活跃市场价格且采用估值技术仍导致公允价值存在重大不确定性时，经与托管人协商确认后，管理人应当延缓支付赎回款项或暂停接受</w:t>
      </w:r>
      <w:r>
        <w:rPr>
          <w:rFonts w:ascii="宋体" w:hAnsi="宋体"/>
          <w:bCs/>
          <w:sz w:val="24"/>
        </w:rPr>
        <w:t xml:space="preserve">集合计划</w:t>
      </w:r>
      <w:r>
        <w:rPr>
          <w:rFonts w:ascii="宋体" w:hAnsi="宋体"/>
          <w:bCs/>
          <w:sz w:val="24"/>
        </w:rPr>
        <w:t xml:space="preserve">赎回申请。</w:t>
      </w:r>
      <w:r>
        <w:rPr>
          <w:rFonts w:ascii="宋体" w:hAnsi="宋体"/>
          <w:bCs/>
        </w:rPr>
      </w:r>
      <w:r/>
    </w:p>
    <w:p>
      <w:pPr>
        <w:pStyle w:val="369"/>
        <w:ind w:firstLine="480"/>
        <w:snapToGrid w:val="1"/>
        <w:spacing w:lineRule="auto" w:line="360"/>
        <w:rPr>
          <w:rFonts w:ascii="宋体" w:hAnsi="宋体"/>
          <w:bCs/>
          <w:sz w:val="24"/>
        </w:rPr>
      </w:pPr>
      <w:r/>
      <w:bookmarkEnd w:id="113"/>
      <w:r>
        <w:rPr>
          <w:rFonts w:ascii="宋体" w:hAnsi="宋体"/>
          <w:bCs/>
          <w:sz w:val="24"/>
        </w:rPr>
        <w:t xml:space="preserve">7、</w:t>
      </w:r>
      <w:r>
        <w:rPr>
          <w:rFonts w:ascii="宋体" w:hAnsi="宋体"/>
          <w:bCs/>
          <w:sz w:val="24"/>
        </w:rPr>
        <w:t xml:space="preserve">法律法规规定或中国证监会认定的其他情形。</w:t>
      </w:r>
      <w:r/>
    </w:p>
    <w:p>
      <w:pPr>
        <w:pStyle w:val="369"/>
        <w:ind w:firstLine="480"/>
        <w:snapToGrid w:val="1"/>
        <w:spacing w:lineRule="auto" w:line="360"/>
        <w:rPr>
          <w:rFonts w:ascii="宋体" w:hAnsi="宋体"/>
          <w:bCs/>
        </w:rPr>
      </w:pPr>
      <w:r>
        <w:rPr>
          <w:rFonts w:ascii="宋体" w:hAnsi="宋体"/>
          <w:bCs/>
          <w:sz w:val="24"/>
        </w:rPr>
        <w:t xml:space="preserve">发生上述情形之一且管理人决定暂停赎回或延缓支付赎回款项时，管理人应及时报中国证监会备案，已确认的赎回申请，管理人应足</w:t>
      </w:r>
      <w:r>
        <w:rPr>
          <w:rFonts w:ascii="宋体" w:hAnsi="宋体"/>
          <w:bCs/>
          <w:sz w:val="24"/>
        </w:rPr>
        <w:t xml:space="preserve">额支付；如暂时不能足额支付，应将可支付部分按单个账户申请</w:t>
      </w:r>
      <w:r>
        <w:rPr>
          <w:rFonts w:ascii="宋体" w:hAnsi="宋体"/>
          <w:bCs/>
          <w:sz w:val="24"/>
        </w:rPr>
        <w:t xml:space="preserve">量占申请总量的比例分配给赎回申请人，未支付部分可延期支付。</w:t>
      </w:r>
      <w:r>
        <w:rPr>
          <w:rFonts w:ascii="宋体" w:hAnsi="宋体"/>
          <w:bCs/>
          <w:sz w:val="24"/>
        </w:rPr>
        <w:t xml:space="preserve">若出现上述第4项所述情形，按集合计划合同的相关条款处理。</w:t>
      </w:r>
      <w:r>
        <w:rPr>
          <w:rFonts w:ascii="宋体" w:hAnsi="宋体"/>
          <w:bCs/>
          <w:sz w:val="24"/>
        </w:rPr>
        <w:t xml:space="preserve">集合计划份额持有人在申请赎回时可事先选择将当日可能未获受理部分予以撤销。在暂停赎回的情况消除时，管理人应及时恢复赎回业务的办理并公告。</w:t>
      </w:r>
      <w:r>
        <w:rPr>
          <w:rFonts w:ascii="宋体" w:hAnsi="宋体"/>
          <w:bCs/>
        </w:rPr>
      </w:r>
      <w:r/>
    </w:p>
    <w:p>
      <w:pPr>
        <w:pStyle w:val="369"/>
        <w:ind w:firstLine="480"/>
        <w:snapToGrid w:val="1"/>
        <w:spacing w:lineRule="auto" w:line="360"/>
        <w:rPr>
          <w:rFonts w:ascii="宋体" w:hAnsi="宋体"/>
          <w:bCs/>
          <w:sz w:val="24"/>
        </w:rPr>
      </w:pPr>
      <w:r>
        <w:rPr>
          <w:rFonts w:ascii="宋体" w:hAnsi="宋体"/>
          <w:bCs/>
          <w:sz w:val="24"/>
        </w:rPr>
        <w:t xml:space="preserve">九</w:t>
      </w:r>
      <w:r>
        <w:rPr>
          <w:rFonts w:ascii="宋体" w:hAnsi="宋体"/>
          <w:bCs/>
          <w:sz w:val="24"/>
        </w:rPr>
        <w:t xml:space="preserve">、</w:t>
      </w:r>
      <w:r>
        <w:rPr>
          <w:rFonts w:ascii="宋体" w:hAnsi="宋体"/>
          <w:bCs/>
          <w:sz w:val="24"/>
        </w:rPr>
        <w:t xml:space="preserve">巨额赎回的情形及处理方式</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巨额赎回的认定</w:t>
      </w:r>
      <w:r/>
    </w:p>
    <w:p>
      <w:pPr>
        <w:pStyle w:val="369"/>
        <w:ind w:firstLine="480"/>
        <w:snapToGrid w:val="1"/>
        <w:spacing w:lineRule="auto" w:line="360"/>
        <w:rPr>
          <w:rFonts w:ascii="宋体" w:hAnsi="宋体"/>
          <w:bCs/>
          <w:sz w:val="24"/>
        </w:rPr>
      </w:pPr>
      <w:r>
        <w:rPr>
          <w:rFonts w:ascii="宋体" w:hAnsi="宋体"/>
          <w:bCs/>
          <w:sz w:val="24"/>
        </w:rPr>
        <w:t xml:space="preserve">若本集合计划单个开放日内的</w:t>
      </w:r>
      <w:r>
        <w:rPr>
          <w:rFonts w:ascii="宋体" w:hAnsi="宋体"/>
          <w:bCs/>
          <w:sz w:val="24"/>
        </w:rPr>
        <w:t xml:space="preserve">集合计划</w:t>
      </w:r>
      <w:r>
        <w:rPr>
          <w:rFonts w:ascii="宋体" w:hAnsi="宋体"/>
          <w:bCs/>
          <w:sz w:val="24"/>
        </w:rPr>
        <w:t xml:space="preserve">份额净赎回申请(赎回申请份额总数加上</w:t>
      </w:r>
      <w:r>
        <w:rPr>
          <w:rFonts w:ascii="宋体" w:hAnsi="宋体"/>
          <w:bCs/>
          <w:sz w:val="24"/>
        </w:rPr>
        <w:t xml:space="preserve">集合计划</w:t>
      </w:r>
      <w:r>
        <w:rPr>
          <w:rFonts w:ascii="宋体" w:hAnsi="宋体"/>
          <w:bCs/>
          <w:sz w:val="24"/>
        </w:rPr>
        <w:t xml:space="preserve">转换中转出申请份额总数后扣除申购申请份额总数及</w:t>
      </w:r>
      <w:r>
        <w:rPr>
          <w:rFonts w:ascii="宋体" w:hAnsi="宋体"/>
          <w:bCs/>
          <w:sz w:val="24"/>
        </w:rPr>
        <w:t xml:space="preserve">集合计划</w:t>
      </w:r>
      <w:r>
        <w:rPr>
          <w:rFonts w:ascii="宋体" w:hAnsi="宋体"/>
          <w:bCs/>
          <w:sz w:val="24"/>
        </w:rPr>
        <w:t xml:space="preserve">转换中转入申请份额总数后</w:t>
      </w:r>
      <w:r>
        <w:rPr>
          <w:rFonts w:ascii="宋体" w:hAnsi="宋体"/>
          <w:bCs/>
          <w:sz w:val="24"/>
        </w:rPr>
        <w:t xml:space="preserve">的余额)超过前一</w:t>
      </w:r>
      <w:r>
        <w:rPr>
          <w:rFonts w:ascii="宋体" w:hAnsi="宋体"/>
          <w:bCs/>
          <w:sz w:val="24"/>
        </w:rPr>
        <w:t xml:space="preserve">开放</w:t>
      </w:r>
      <w:r>
        <w:rPr>
          <w:rFonts w:ascii="宋体" w:hAnsi="宋体"/>
          <w:bCs/>
          <w:sz w:val="24"/>
        </w:rPr>
        <w:t xml:space="preserve">日</w:t>
      </w:r>
      <w:r>
        <w:rPr>
          <w:rFonts w:ascii="宋体" w:hAnsi="宋体"/>
          <w:bCs/>
          <w:sz w:val="24"/>
        </w:rPr>
        <w:t xml:space="preserve">集合计划</w:t>
      </w:r>
      <w:r>
        <w:rPr>
          <w:rFonts w:ascii="宋体" w:hAnsi="宋体"/>
          <w:bCs/>
          <w:sz w:val="24"/>
        </w:rPr>
        <w:t xml:space="preserve">总份额的</w:t>
      </w:r>
      <w:r>
        <w:rPr>
          <w:rFonts w:ascii="宋体" w:hAnsi="宋体"/>
          <w:bCs/>
          <w:sz w:val="24"/>
        </w:rPr>
        <w:t xml:space="preserve">1</w:t>
      </w:r>
      <w:r>
        <w:rPr>
          <w:rFonts w:ascii="宋体" w:hAnsi="宋体"/>
          <w:bCs/>
          <w:sz w:val="24"/>
        </w:rPr>
        <w:t xml:space="preserve">0%，即认为是发生了巨额赎回。</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w:t>
      </w:r>
      <w:r>
        <w:rPr>
          <w:rFonts w:ascii="宋体" w:hAnsi="宋体"/>
          <w:bCs/>
          <w:sz w:val="24"/>
        </w:rPr>
        <w:t xml:space="preserve">巨额赎回的处理方式</w:t>
      </w:r>
      <w:r/>
    </w:p>
    <w:p>
      <w:pPr>
        <w:pStyle w:val="369"/>
        <w:ind w:firstLine="480"/>
        <w:snapToGrid w:val="1"/>
        <w:spacing w:lineRule="auto" w:line="360"/>
        <w:rPr>
          <w:rFonts w:ascii="宋体" w:hAnsi="宋体"/>
          <w:bCs/>
          <w:sz w:val="24"/>
        </w:rPr>
      </w:pPr>
      <w:r>
        <w:rPr>
          <w:rFonts w:ascii="宋体" w:hAnsi="宋体"/>
          <w:bCs/>
          <w:sz w:val="24"/>
        </w:rPr>
        <w:t xml:space="preserve">当</w:t>
      </w:r>
      <w:r>
        <w:rPr>
          <w:rFonts w:ascii="宋体" w:hAnsi="宋体"/>
          <w:bCs/>
          <w:sz w:val="24"/>
        </w:rPr>
        <w:t xml:space="preserve">集合计划</w:t>
      </w:r>
      <w:r>
        <w:rPr>
          <w:rFonts w:ascii="宋体" w:hAnsi="宋体"/>
          <w:bCs/>
          <w:sz w:val="24"/>
        </w:rPr>
        <w:t xml:space="preserve">出现巨额赎回时，管理人可以根据</w:t>
      </w:r>
      <w:r>
        <w:rPr>
          <w:rFonts w:ascii="宋体" w:hAnsi="宋体"/>
          <w:bCs/>
          <w:sz w:val="24"/>
        </w:rPr>
        <w:t xml:space="preserve">集合计划</w:t>
      </w:r>
      <w:r>
        <w:rPr>
          <w:rFonts w:ascii="宋体" w:hAnsi="宋体"/>
          <w:bCs/>
          <w:sz w:val="24"/>
        </w:rPr>
        <w:t xml:space="preserve">当时的资产组合状况决定全额赎回或</w:t>
      </w:r>
      <w:r>
        <w:rPr>
          <w:rFonts w:ascii="宋体" w:hAnsi="宋体"/>
          <w:bCs/>
          <w:sz w:val="24"/>
        </w:rPr>
        <w:t xml:space="preserve">部分延期赎回</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（1）全额赎回：当管理人认为有能力支付投资人的全部赎回申请时，按正常赎回程序执行。</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w:t>
      </w:r>
      <w:r>
        <w:rPr>
          <w:rFonts w:ascii="宋体" w:hAnsi="宋体"/>
          <w:bCs/>
          <w:sz w:val="24"/>
        </w:rPr>
        <w:t xml:space="preserve">）部分延期赎回：当管理人认为支付投资人的赎回申请有困难或认为因支付投资人的赎回申请而进行的财产变现可能会对集合计划资产净值造成较大波动时，管理人在当日接受赎回比例不低于上一开放日集合资产管理计划总份额的10%的前提下，可对其余赎回申</w:t>
      </w:r>
      <w:r>
        <w:rPr>
          <w:rFonts w:ascii="宋体" w:hAnsi="宋体"/>
          <w:bCs/>
          <w:sz w:val="24"/>
        </w:rPr>
        <w:t xml:space="preserve">请延期办理。对于当日的赎回申请，应当按单个账户赎回申请量</w:t>
      </w:r>
      <w:r>
        <w:rPr>
          <w:rFonts w:ascii="宋体" w:hAnsi="宋体"/>
          <w:bCs/>
          <w:sz w:val="24"/>
        </w:rPr>
        <w:t xml:space="preserve">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集合计划份额净值为基础计算赎回金额，以此类推，直到全部赎回为止。如投资人在提交赎回申请时未作明确选择，投资人未能赎回部分作自动延期赎回处理。</w:t>
      </w:r>
      <w:r/>
    </w:p>
    <w:p>
      <w:pPr>
        <w:pStyle w:val="369"/>
        <w:ind w:firstLine="42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当本集合</w:t>
      </w:r>
      <w:r>
        <w:rPr>
          <w:rFonts w:ascii="宋体" w:hAnsi="宋体"/>
          <w:bCs/>
          <w:sz w:val="24"/>
        </w:rPr>
        <w:t xml:space="preserve">计划发生巨额赎回时，在单个集合计划份额持有人赎回申请超过</w:t>
      </w:r>
      <w:r>
        <w:rPr>
          <w:rFonts w:ascii="宋体" w:hAnsi="宋体"/>
          <w:bCs/>
          <w:sz w:val="24"/>
        </w:rPr>
        <w:t xml:space="preserve">前一开放日</w:t>
      </w:r>
      <w:r>
        <w:rPr>
          <w:rFonts w:ascii="宋体" w:hAnsi="宋体"/>
          <w:bCs/>
          <w:sz w:val="24"/>
        </w:rPr>
        <w:t xml:space="preserve">集合计划</w:t>
      </w:r>
      <w:r>
        <w:rPr>
          <w:rFonts w:ascii="宋体" w:hAnsi="宋体"/>
          <w:bCs/>
          <w:sz w:val="24"/>
        </w:rPr>
        <w:t xml:space="preserve">总份额1</w:t>
      </w:r>
      <w:r>
        <w:rPr>
          <w:rFonts w:ascii="宋体" w:hAnsi="宋体"/>
          <w:bCs/>
          <w:sz w:val="24"/>
        </w:rPr>
        <w:t xml:space="preserve">0</w:t>
      </w:r>
      <w:r>
        <w:rPr>
          <w:rFonts w:ascii="宋体" w:hAnsi="宋体"/>
          <w:bCs/>
          <w:sz w:val="24"/>
        </w:rPr>
        <w:t xml:space="preserve">%的情形下，对该单个集合计划份额持有人在该比例以内的赎回申请，与当日其他赎回申请一起，按上述（1）、（2）方式处理，对该单个集合计划份额持有人超过该比例的赎回申请，如管理人认为支付该集合计划份额持有人的赎回款项有困难或者因支付该集合计划份额持有人的赎回款项而进行的财产变现可能会对本集合计划资产净值造成较大波动时，管理人有权实施延期办理。对于该集合计划份额持有人未能赎回部分，集合计划份额持有人在提交赎回申请时可以选择延期赎回或</w:t>
      </w:r>
      <w:r>
        <w:rPr>
          <w:rFonts w:ascii="宋体" w:hAnsi="宋体"/>
          <w:bCs/>
          <w:sz w:val="24"/>
        </w:rPr>
        <w:t xml:space="preserve">取消赎回。</w:t>
      </w:r>
      <w:r/>
    </w:p>
    <w:p>
      <w:pPr>
        <w:pStyle w:val="369"/>
        <w:ind w:firstLine="480"/>
        <w:snapToGrid w:val="1"/>
        <w:spacing w:lineRule="auto" w:line="360"/>
        <w:rPr>
          <w:rFonts w:ascii="宋体" w:hAnsi="宋体"/>
          <w:bCs/>
          <w:sz w:val="24"/>
        </w:rPr>
      </w:pPr>
      <w:r>
        <w:rPr>
          <w:rFonts w:ascii="宋体" w:hAnsi="宋体"/>
          <w:bCs/>
          <w:sz w:val="24"/>
        </w:rPr>
        <w:t xml:space="preserve">选择延期赎回的，将自动转入下一个</w:t>
      </w:r>
      <w:r>
        <w:rPr>
          <w:rFonts w:ascii="宋体" w:hAnsi="宋体"/>
          <w:bCs/>
          <w:sz w:val="24"/>
        </w:rPr>
        <w:t xml:space="preserve">开放日继续赎回，并与下一开放日新增的赎回申请一并处理，无优先权并以下一开放日的本集合计划份额净值为基础计算赎回金额，以此类推。选择取消赎回的，当日未获受理的部分赎回申请将被撤销。</w:t>
      </w:r>
      <w:r/>
    </w:p>
    <w:p>
      <w:pPr>
        <w:pStyle w:val="369"/>
        <w:ind w:firstLine="480"/>
        <w:snapToGrid w:val="1"/>
        <w:spacing w:lineRule="auto" w:line="360"/>
        <w:rPr>
          <w:rFonts w:ascii="宋体" w:hAnsi="宋体"/>
          <w:bCs/>
          <w:sz w:val="24"/>
        </w:rPr>
      </w:pPr>
      <w:r>
        <w:rPr>
          <w:rFonts w:ascii="宋体" w:hAnsi="宋体"/>
          <w:bCs/>
          <w:sz w:val="24"/>
        </w:rPr>
        <w:t xml:space="preserve">如集合计划份额持有人在提交赎回申请时未作明确选择，集合计划份额持有人未能赎回部分作自动延期赎回处理，具体见相关公告。部分延期赎回不受单笔赎回最低份额的限制。</w:t>
      </w:r>
      <w:r/>
    </w:p>
    <w:p>
      <w:pPr>
        <w:pStyle w:val="369"/>
        <w:ind w:firstLine="480"/>
        <w:snapToGrid w:val="1"/>
        <w:spacing w:lineRule="auto" w:line="360"/>
        <w:rPr>
          <w:rFonts w:ascii="宋体" w:hAnsi="宋体"/>
          <w:bCs/>
          <w:sz w:val="24"/>
        </w:rPr>
      </w:pPr>
      <w:r>
        <w:rPr>
          <w:rFonts w:ascii="宋体" w:hAnsi="宋体"/>
          <w:bCs/>
          <w:sz w:val="24"/>
        </w:rPr>
        <w:t xml:space="preserve">（4）暂停赎回：连续2个开放日以上（含本数）发生巨额赎回，如管理人认为有必要，可暂停接受本集合计划的赎回申请；已经接受的赎回申请可</w:t>
      </w:r>
      <w:r>
        <w:rPr>
          <w:rFonts w:ascii="宋体" w:hAnsi="宋体"/>
          <w:bCs/>
          <w:sz w:val="24"/>
        </w:rPr>
        <w:t xml:space="preserve">以延缓支付赎回款项，但不得超过20个工作日，并应当在规定</w:t>
      </w:r>
      <w:r>
        <w:rPr>
          <w:rFonts w:ascii="宋体" w:hAnsi="宋体"/>
          <w:bCs/>
          <w:sz w:val="24"/>
        </w:rPr>
        <w:t xml:space="preserve">媒介上进行公告。</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w:t>
      </w:r>
      <w:r>
        <w:rPr>
          <w:rFonts w:ascii="宋体" w:hAnsi="宋体"/>
          <w:bCs/>
          <w:sz w:val="24"/>
        </w:rPr>
        <w:t xml:space="preserve">巨额赎回的公告</w:t>
      </w:r>
      <w:r/>
    </w:p>
    <w:p>
      <w:pPr>
        <w:pStyle w:val="369"/>
        <w:ind w:firstLine="480"/>
        <w:snapToGrid w:val="1"/>
        <w:spacing w:lineRule="auto" w:line="360"/>
        <w:rPr>
          <w:rFonts w:ascii="宋体" w:hAnsi="宋体"/>
          <w:bCs/>
        </w:rPr>
      </w:pPr>
      <w:r>
        <w:rPr>
          <w:rFonts w:ascii="宋体" w:hAnsi="宋体"/>
          <w:bCs/>
          <w:sz w:val="24"/>
        </w:rPr>
        <w:t xml:space="preserve">当发生上述</w:t>
      </w:r>
      <w:r>
        <w:rPr>
          <w:rFonts w:ascii="宋体" w:hAnsi="宋体"/>
          <w:bCs/>
          <w:sz w:val="24"/>
        </w:rPr>
        <w:t xml:space="preserve">巨额</w:t>
      </w:r>
      <w:r>
        <w:rPr>
          <w:rFonts w:ascii="宋体" w:hAnsi="宋体"/>
          <w:bCs/>
          <w:sz w:val="24"/>
        </w:rPr>
        <w:t xml:space="preserve">赎回并</w:t>
      </w:r>
      <w:r>
        <w:rPr>
          <w:rFonts w:ascii="宋体" w:hAnsi="宋体"/>
          <w:bCs/>
          <w:sz w:val="24"/>
        </w:rPr>
        <w:t xml:space="preserve">延期办理</w:t>
      </w:r>
      <w:r>
        <w:rPr>
          <w:rFonts w:ascii="宋体" w:hAnsi="宋体"/>
          <w:bCs/>
          <w:sz w:val="24"/>
        </w:rPr>
        <w:t xml:space="preserve">时，管理人应当通过邮寄、传真或者招募说明书规定的其他方式在</w:t>
      </w:r>
      <w:r>
        <w:rPr>
          <w:rFonts w:ascii="宋体" w:hAnsi="宋体"/>
          <w:bCs/>
          <w:sz w:val="24"/>
        </w:rPr>
        <w:t xml:space="preserve">3</w:t>
      </w:r>
      <w:r>
        <w:rPr>
          <w:rFonts w:ascii="宋体" w:hAnsi="宋体"/>
          <w:bCs/>
          <w:sz w:val="24"/>
        </w:rPr>
        <w:t xml:space="preserve">个交易日内通知</w:t>
      </w:r>
      <w:r>
        <w:rPr>
          <w:rFonts w:ascii="宋体" w:hAnsi="宋体"/>
          <w:bCs/>
          <w:sz w:val="24"/>
        </w:rPr>
        <w:t xml:space="preserve">集合计划</w:t>
      </w:r>
      <w:r>
        <w:rPr>
          <w:rFonts w:ascii="宋体" w:hAnsi="宋体"/>
          <w:bCs/>
          <w:sz w:val="24"/>
        </w:rPr>
        <w:t xml:space="preserve">份额持有人，说明有关处理方法，</w:t>
      </w:r>
      <w:r>
        <w:rPr>
          <w:rFonts w:ascii="宋体" w:hAnsi="宋体"/>
          <w:bCs/>
          <w:sz w:val="24"/>
        </w:rPr>
        <w:t xml:space="preserve">并</w:t>
      </w:r>
      <w:r>
        <w:rPr>
          <w:rFonts w:ascii="宋体" w:hAnsi="宋体"/>
          <w:bCs/>
          <w:sz w:val="24"/>
        </w:rPr>
        <w:t xml:space="preserve">在</w:t>
      </w:r>
      <w:r>
        <w:rPr>
          <w:rFonts w:ascii="宋体" w:hAnsi="宋体"/>
          <w:sz w:val="24"/>
        </w:rPr>
        <w:t xml:space="preserve">两日内在</w:t>
      </w:r>
      <w:r>
        <w:rPr>
          <w:rFonts w:ascii="宋体" w:hAnsi="宋体"/>
          <w:bCs/>
          <w:sz w:val="24"/>
        </w:rPr>
        <w:t xml:space="preserve">规定媒介上刊登公告。</w:t>
      </w:r>
      <w:r>
        <w:rPr>
          <w:rFonts w:ascii="宋体" w:hAnsi="宋体"/>
          <w:bCs/>
        </w:rPr>
      </w:r>
      <w:r/>
    </w:p>
    <w:p>
      <w:pPr>
        <w:pStyle w:val="369"/>
        <w:ind w:firstLine="480"/>
        <w:snapToGrid w:val="1"/>
        <w:spacing w:lineRule="auto" w:line="360"/>
        <w:rPr>
          <w:rFonts w:ascii="宋体" w:hAnsi="宋体"/>
          <w:bCs/>
          <w:sz w:val="24"/>
        </w:rPr>
      </w:pPr>
      <w:r>
        <w:rPr>
          <w:rFonts w:ascii="宋体" w:hAnsi="宋体"/>
          <w:bCs/>
          <w:sz w:val="24"/>
        </w:rPr>
        <w:t xml:space="preserve">十</w:t>
      </w:r>
      <w:r>
        <w:rPr>
          <w:rFonts w:ascii="宋体" w:hAnsi="宋体"/>
          <w:bCs/>
          <w:sz w:val="24"/>
        </w:rPr>
        <w:t xml:space="preserve">、</w:t>
      </w:r>
      <w:r>
        <w:rPr>
          <w:rFonts w:ascii="宋体" w:hAnsi="宋体"/>
          <w:bCs/>
          <w:sz w:val="24"/>
        </w:rPr>
        <w:t xml:space="preserve">暂停申购或赎回的公告和重新开放申购或赎回的公告</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发生上述暂停申购或赎回情况的，管理人应在规定期限内在规定媒介上刊登暂停公告。</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w:t>
      </w:r>
      <w:r>
        <w:rPr>
          <w:rFonts w:ascii="宋体" w:hAnsi="宋体"/>
          <w:bCs/>
          <w:sz w:val="24"/>
        </w:rPr>
        <w:t xml:space="preserve">如发生暂停的时间为1日，管理人应于重新开放日，在规定媒介上刊登</w:t>
      </w:r>
      <w:r>
        <w:rPr>
          <w:rFonts w:ascii="宋体" w:hAnsi="宋体"/>
          <w:bCs/>
          <w:sz w:val="24"/>
        </w:rPr>
        <w:t xml:space="preserve">集合计划</w:t>
      </w:r>
      <w:r>
        <w:rPr>
          <w:rFonts w:ascii="宋体" w:hAnsi="宋体"/>
          <w:bCs/>
          <w:sz w:val="24"/>
        </w:rPr>
        <w:t xml:space="preserve">重新开放申购或赎回公告，并公布最近1</w:t>
      </w:r>
      <w:r>
        <w:rPr>
          <w:rFonts w:ascii="宋体" w:hAnsi="宋体"/>
          <w:bCs/>
          <w:sz w:val="24"/>
        </w:rPr>
        <w:t xml:space="preserve">个开放日的集合计划份额净值。</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若暂停时间超过1日，则管理人可以根据《信息披露办法》的有关规定，最迟于重新开放申购或赎回日，在规定媒介上刊登集合计划重新开放申购或赎回公告，并公布最近1个开放日的集合计划份额净值；也可以根据实际情况在暂停公告中明确重新开放申购或赎回的时间，届时不再另行发布重新开放的公告</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十一</w:t>
      </w:r>
      <w:r>
        <w:rPr>
          <w:rFonts w:ascii="宋体" w:hAnsi="宋体"/>
          <w:bCs/>
          <w:sz w:val="24"/>
        </w:rPr>
        <w:t xml:space="preserve">、集合计划</w:t>
      </w:r>
      <w:r>
        <w:rPr>
          <w:rFonts w:ascii="宋体" w:hAnsi="宋体"/>
          <w:bCs/>
          <w:sz w:val="24"/>
        </w:rPr>
        <w:t xml:space="preserve">转换</w:t>
      </w:r>
      <w:r/>
    </w:p>
    <w:p>
      <w:pPr>
        <w:pStyle w:val="369"/>
        <w:ind w:firstLine="480"/>
        <w:snapToGrid w:val="1"/>
        <w:spacing w:lineRule="auto" w:line="360"/>
        <w:rPr>
          <w:rFonts w:ascii="宋体" w:hAnsi="宋体"/>
          <w:bCs/>
          <w:sz w:val="24"/>
        </w:rPr>
      </w:pPr>
      <w:r>
        <w:rPr>
          <w:rFonts w:ascii="宋体" w:hAnsi="宋体"/>
          <w:bCs/>
          <w:sz w:val="24"/>
        </w:rPr>
        <w:t xml:space="preserve">管理人可以根据相关法律法规以及本合同的规定决定开办本集合计划与管理人管理的其他</w:t>
      </w:r>
      <w:r>
        <w:rPr>
          <w:rFonts w:ascii="宋体" w:hAnsi="宋体"/>
          <w:bCs/>
          <w:sz w:val="24"/>
        </w:rPr>
        <w:t xml:space="preserve">集合资产管理计划</w:t>
      </w:r>
      <w:r>
        <w:rPr>
          <w:rFonts w:ascii="宋体" w:hAnsi="宋体"/>
          <w:bCs/>
          <w:sz w:val="24"/>
        </w:rPr>
        <w:t xml:space="preserve">之间的转换业务，</w:t>
      </w:r>
      <w:r>
        <w:rPr>
          <w:rFonts w:ascii="宋体" w:hAnsi="宋体"/>
          <w:bCs/>
          <w:sz w:val="24"/>
        </w:rPr>
        <w:t xml:space="preserve">集合计划</w:t>
      </w:r>
      <w:r>
        <w:rPr>
          <w:rFonts w:ascii="宋体" w:hAnsi="宋体"/>
          <w:bCs/>
          <w:sz w:val="24"/>
        </w:rPr>
        <w:t xml:space="preserve">转换可以收取一定的转换费，相关规则由管理人届时根据相关法律法规及本</w:t>
      </w:r>
      <w:r>
        <w:rPr>
          <w:rFonts w:ascii="宋体" w:hAnsi="宋体"/>
          <w:bCs/>
          <w:sz w:val="24"/>
        </w:rPr>
        <w:t xml:space="preserve">合同的规定制定并公告，并提前告知托管人与相关机构。</w:t>
      </w:r>
      <w:r/>
    </w:p>
    <w:p>
      <w:pPr>
        <w:pStyle w:val="369"/>
        <w:ind w:firstLine="480"/>
        <w:snapToGrid w:val="1"/>
        <w:spacing w:lineRule="auto" w:line="360"/>
        <w:rPr>
          <w:rFonts w:ascii="宋体" w:hAnsi="宋体"/>
          <w:bCs/>
          <w:sz w:val="24"/>
        </w:rPr>
      </w:pPr>
      <w:r>
        <w:rPr>
          <w:rFonts w:ascii="宋体" w:hAnsi="宋体"/>
          <w:bCs/>
          <w:sz w:val="24"/>
        </w:rPr>
        <w:t xml:space="preserve">十二</w:t>
      </w:r>
      <w:r>
        <w:rPr>
          <w:rFonts w:ascii="宋体" w:hAnsi="宋体"/>
          <w:bCs/>
          <w:sz w:val="24"/>
        </w:rPr>
        <w:t xml:space="preserve">、集合计划</w:t>
      </w:r>
      <w:r>
        <w:rPr>
          <w:rFonts w:ascii="宋体" w:hAnsi="宋体"/>
          <w:bCs/>
          <w:sz w:val="24"/>
        </w:rPr>
        <w:t xml:space="preserve">的非交易过户</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的非交易过户是指</w:t>
      </w:r>
      <w:r>
        <w:rPr>
          <w:rFonts w:ascii="宋体" w:hAnsi="宋体"/>
          <w:bCs/>
          <w:sz w:val="24"/>
        </w:rPr>
        <w:t xml:space="preserve">集合计划</w:t>
      </w:r>
      <w:r>
        <w:rPr>
          <w:rFonts w:ascii="宋体" w:hAnsi="宋体"/>
          <w:bCs/>
          <w:sz w:val="24"/>
        </w:rPr>
        <w:t xml:space="preserve">登记机构受理继承、捐赠和司法强制执行</w:t>
      </w:r>
      <w:r>
        <w:rPr>
          <w:rFonts w:ascii="宋体" w:hAnsi="宋体"/>
          <w:bCs/>
          <w:sz w:val="24"/>
        </w:rPr>
        <w:t xml:space="preserve">等情形</w:t>
      </w:r>
      <w:r>
        <w:rPr>
          <w:rFonts w:ascii="宋体" w:hAnsi="宋体"/>
          <w:bCs/>
          <w:sz w:val="24"/>
        </w:rPr>
        <w:t xml:space="preserve">而产生的非交易过户以及登记机构认可、符合法律法规的其它非交易过户。无论在上述何种情况下，接受划转的主体必须是依法可以持有本集合计划份额的投资人。</w:t>
      </w:r>
      <w:r/>
    </w:p>
    <w:p>
      <w:pPr>
        <w:pStyle w:val="369"/>
        <w:ind w:firstLine="480"/>
        <w:snapToGrid w:val="1"/>
        <w:spacing w:lineRule="auto" w:line="360"/>
        <w:rPr>
          <w:rFonts w:ascii="宋体" w:hAnsi="宋体"/>
          <w:bCs/>
          <w:sz w:val="24"/>
        </w:rPr>
      </w:pPr>
      <w:r>
        <w:rPr>
          <w:rFonts w:ascii="宋体" w:hAnsi="宋体"/>
          <w:sz w:val="24"/>
        </w:rPr>
        <w:t xml:space="preserve">继承是指集合计划份额持有人死亡，其持有的</w:t>
      </w:r>
      <w:r>
        <w:rPr>
          <w:rFonts w:ascii="宋体" w:hAnsi="宋体"/>
          <w:bCs/>
          <w:sz w:val="24"/>
        </w:rPr>
        <w:t xml:space="preserve">集合计划</w:t>
      </w:r>
      <w:r>
        <w:rPr>
          <w:rFonts w:ascii="宋体" w:hAnsi="宋体"/>
          <w:sz w:val="24"/>
        </w:rPr>
        <w:t xml:space="preserve">份额由其合法的继承人继承；捐赠指集合计划份额持有人将其合法持有的</w:t>
      </w:r>
      <w:r>
        <w:rPr>
          <w:rFonts w:ascii="宋体" w:hAnsi="宋体"/>
          <w:bCs/>
          <w:sz w:val="24"/>
        </w:rPr>
        <w:t xml:space="preserve">集合计划</w:t>
      </w:r>
      <w:r>
        <w:rPr>
          <w:rFonts w:ascii="宋体" w:hAnsi="宋体"/>
          <w:sz w:val="24"/>
        </w:rPr>
        <w:t xml:space="preserve">份额捐赠给福利性质的基金会或社会团体；司法强制执行是指司法机构依据生效司法文书将集合计划份额</w:t>
      </w:r>
      <w:r>
        <w:rPr>
          <w:rFonts w:ascii="宋体" w:hAnsi="宋体"/>
          <w:sz w:val="24"/>
        </w:rPr>
        <w:t xml:space="preserve">持有人持有的</w:t>
      </w:r>
      <w:r>
        <w:rPr>
          <w:rFonts w:ascii="宋体" w:hAnsi="宋体"/>
          <w:bCs/>
          <w:sz w:val="24"/>
        </w:rPr>
        <w:t xml:space="preserve">集合计划</w:t>
      </w:r>
      <w:r>
        <w:rPr>
          <w:rFonts w:ascii="宋体" w:hAnsi="宋体"/>
          <w:sz w:val="24"/>
        </w:rPr>
        <w:t xml:space="preserve">份额强制划转给其</w:t>
      </w:r>
      <w:r>
        <w:rPr>
          <w:rFonts w:ascii="宋体" w:hAnsi="宋体"/>
          <w:sz w:val="24"/>
        </w:rPr>
        <w:t xml:space="preserve">他自然人、法人或其他组织。办理非交易过户必须提供</w:t>
      </w:r>
      <w:r>
        <w:rPr>
          <w:rFonts w:ascii="宋体" w:hAnsi="宋体"/>
          <w:bCs/>
          <w:sz w:val="24"/>
        </w:rPr>
        <w:t xml:space="preserve">集合计划</w:t>
      </w:r>
      <w:r>
        <w:rPr>
          <w:rFonts w:ascii="宋体" w:hAnsi="宋体"/>
          <w:sz w:val="24"/>
        </w:rPr>
        <w:t xml:space="preserve">登记机构要求提供的相关资料，对于符合条件的非交易过户申请按</w:t>
      </w:r>
      <w:r>
        <w:rPr>
          <w:rFonts w:ascii="宋体" w:hAnsi="宋体"/>
          <w:bCs/>
          <w:sz w:val="24"/>
        </w:rPr>
        <w:t xml:space="preserve">集合计划</w:t>
      </w:r>
      <w:r>
        <w:rPr>
          <w:rFonts w:ascii="宋体" w:hAnsi="宋体"/>
          <w:sz w:val="24"/>
        </w:rPr>
        <w:t xml:space="preserve">登记机构的规定办理，并按</w:t>
      </w:r>
      <w:r>
        <w:rPr>
          <w:rFonts w:ascii="宋体" w:hAnsi="宋体"/>
          <w:bCs/>
          <w:sz w:val="24"/>
        </w:rPr>
        <w:t xml:space="preserve">集合计划</w:t>
      </w:r>
      <w:r>
        <w:rPr>
          <w:rFonts w:ascii="宋体" w:hAnsi="宋体"/>
          <w:sz w:val="24"/>
        </w:rPr>
        <w:t xml:space="preserve">登记机构规定的标准收费。</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十三</w:t>
      </w:r>
      <w:r>
        <w:rPr>
          <w:rFonts w:ascii="宋体" w:hAnsi="宋体"/>
          <w:bCs/>
          <w:sz w:val="24"/>
        </w:rPr>
        <w:t xml:space="preserve">、集合计划</w:t>
      </w:r>
      <w:r>
        <w:rPr>
          <w:rFonts w:ascii="宋体" w:hAnsi="宋体"/>
          <w:bCs/>
          <w:sz w:val="24"/>
        </w:rPr>
        <w:t xml:space="preserve">的转托管</w:t>
      </w:r>
      <w:r/>
    </w:p>
    <w:p>
      <w:pPr>
        <w:pStyle w:val="369"/>
        <w:ind w:firstLine="480"/>
        <w:snapToGrid w:val="1"/>
        <w:spacing w:lineRule="auto" w:line="360"/>
        <w:rPr>
          <w:rFonts w:ascii="宋体" w:hAnsi="宋体"/>
          <w:bCs/>
          <w:sz w:val="24"/>
        </w:rPr>
      </w:pPr>
      <w:r>
        <w:rPr>
          <w:rFonts w:ascii="宋体" w:hAnsi="宋体"/>
          <w:sz w:val="24"/>
        </w:rPr>
        <w:t xml:space="preserve">集合计划</w:t>
      </w:r>
      <w:r>
        <w:rPr>
          <w:rFonts w:ascii="宋体" w:hAnsi="宋体"/>
          <w:bCs/>
          <w:sz w:val="24"/>
        </w:rPr>
        <w:t xml:space="preserve">份额持有人可办理已持有</w:t>
      </w:r>
      <w:r>
        <w:rPr>
          <w:rFonts w:ascii="宋体" w:hAnsi="宋体"/>
          <w:bCs/>
          <w:sz w:val="24"/>
        </w:rPr>
        <w:t xml:space="preserve">集合计划</w:t>
      </w:r>
      <w:r>
        <w:rPr>
          <w:rFonts w:ascii="宋体" w:hAnsi="宋体"/>
          <w:bCs/>
          <w:sz w:val="24"/>
        </w:rPr>
        <w:t xml:space="preserve">份额在不同销售机构之间的转托管，</w:t>
      </w:r>
      <w:r>
        <w:rPr>
          <w:rFonts w:ascii="宋体" w:hAnsi="宋体"/>
          <w:bCs/>
          <w:sz w:val="24"/>
        </w:rPr>
        <w:t xml:space="preserve">集合计划</w:t>
      </w:r>
      <w:r>
        <w:rPr>
          <w:rFonts w:ascii="宋体" w:hAnsi="宋体"/>
          <w:bCs/>
          <w:sz w:val="24"/>
        </w:rPr>
        <w:t xml:space="preserve">销售机构可以按照规定的标准收取转托管费。</w:t>
      </w:r>
      <w:r/>
    </w:p>
    <w:p>
      <w:pPr>
        <w:pStyle w:val="369"/>
        <w:ind w:firstLine="480"/>
        <w:snapToGrid w:val="1"/>
        <w:spacing w:lineRule="auto" w:line="360"/>
        <w:rPr>
          <w:rFonts w:ascii="宋体" w:hAnsi="宋体"/>
          <w:bCs/>
          <w:sz w:val="24"/>
        </w:rPr>
      </w:pPr>
      <w:r>
        <w:rPr>
          <w:rFonts w:ascii="宋体" w:hAnsi="宋体"/>
          <w:bCs/>
          <w:sz w:val="24"/>
        </w:rPr>
        <w:t xml:space="preserve">十四</w:t>
      </w:r>
      <w:r>
        <w:rPr>
          <w:rFonts w:ascii="宋体" w:hAnsi="宋体"/>
          <w:bCs/>
          <w:sz w:val="24"/>
        </w:rPr>
        <w:t xml:space="preserve">、</w:t>
      </w:r>
      <w:r>
        <w:rPr>
          <w:rFonts w:ascii="宋体" w:hAnsi="宋体"/>
          <w:bCs/>
          <w:sz w:val="24"/>
        </w:rPr>
        <w:t xml:space="preserve">定期定额投资计划</w:t>
      </w:r>
      <w:r/>
    </w:p>
    <w:p>
      <w:pPr>
        <w:pStyle w:val="369"/>
        <w:ind w:firstLine="480"/>
        <w:snapToGrid w:val="1"/>
        <w:spacing w:lineRule="auto" w:line="360"/>
        <w:rPr>
          <w:rFonts w:ascii="宋体" w:hAnsi="宋体"/>
          <w:bCs/>
          <w:sz w:val="24"/>
        </w:rPr>
      </w:pPr>
      <w:r>
        <w:rPr>
          <w:rFonts w:ascii="宋体" w:hAnsi="宋体"/>
          <w:bCs/>
          <w:sz w:val="24"/>
        </w:rPr>
        <w:t xml:space="preserve">管理人可以为投资人办理定期定额投资计划，具体规则由管理人另行规定。投资人在办理定期定额投资计划时可自行约定每期扣款金额，每期扣款</w:t>
      </w:r>
      <w:r>
        <w:rPr>
          <w:rFonts w:ascii="宋体" w:hAnsi="宋体"/>
          <w:bCs/>
          <w:sz w:val="24"/>
        </w:rPr>
        <w:t xml:space="preserve">金额必须不低于管理人在相关公告或更新的招募说明书中所规定</w:t>
      </w:r>
      <w:r>
        <w:rPr>
          <w:rFonts w:ascii="宋体" w:hAnsi="宋体"/>
          <w:bCs/>
          <w:sz w:val="24"/>
        </w:rPr>
        <w:t xml:space="preserve">的定期定额投资计划最低申购金额。</w:t>
      </w:r>
      <w:r/>
    </w:p>
    <w:p>
      <w:pPr>
        <w:pStyle w:val="369"/>
        <w:ind w:firstLine="480"/>
        <w:snapToGrid w:val="1"/>
        <w:spacing w:lineRule="auto" w:line="360"/>
        <w:rPr>
          <w:rFonts w:ascii="宋体" w:hAnsi="宋体"/>
          <w:bCs/>
          <w:sz w:val="24"/>
        </w:rPr>
      </w:pPr>
      <w:r>
        <w:rPr>
          <w:rFonts w:ascii="宋体" w:hAnsi="宋体"/>
          <w:bCs/>
          <w:sz w:val="24"/>
        </w:rPr>
        <w:t xml:space="preserve">十五</w:t>
      </w:r>
      <w:r>
        <w:rPr>
          <w:rFonts w:ascii="宋体" w:hAnsi="宋体"/>
          <w:bCs/>
          <w:sz w:val="24"/>
        </w:rPr>
        <w:t xml:space="preserve">、集合计划份额</w:t>
      </w:r>
      <w:r>
        <w:rPr>
          <w:rFonts w:ascii="宋体" w:hAnsi="宋体"/>
          <w:bCs/>
          <w:sz w:val="24"/>
        </w:rPr>
        <w:t xml:space="preserve">的冻结和解冻</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登记机构只受理国家有权机关依法要求的</w:t>
      </w:r>
      <w:r>
        <w:rPr>
          <w:rFonts w:ascii="宋体" w:hAnsi="宋体"/>
          <w:bCs/>
          <w:sz w:val="24"/>
        </w:rPr>
        <w:t xml:space="preserve">集合计划</w:t>
      </w:r>
      <w:r>
        <w:rPr>
          <w:rFonts w:ascii="宋体" w:hAnsi="宋体"/>
          <w:bCs/>
          <w:sz w:val="24"/>
        </w:rPr>
        <w:t xml:space="preserve">份额的冻结与解冻，以及登记机构认可、符合法律法规的其他情况下的冻结与解冻。</w:t>
      </w:r>
      <w:r/>
    </w:p>
    <w:p>
      <w:pPr>
        <w:pStyle w:val="369"/>
        <w:ind w:firstLine="480"/>
        <w:snapToGrid w:val="1"/>
        <w:spacing w:lineRule="auto" w:line="360"/>
        <w:rPr>
          <w:rFonts w:ascii="宋体" w:hAnsi="宋体"/>
          <w:color w:val="000000"/>
          <w:sz w:val="24"/>
        </w:rPr>
      </w:pPr>
      <w:r>
        <w:rPr>
          <w:rFonts w:ascii="宋体" w:hAnsi="宋体"/>
          <w:color w:val="000000"/>
          <w:sz w:val="24"/>
        </w:rPr>
        <w:t xml:space="preserve">十六、</w:t>
      </w:r>
      <w:r>
        <w:rPr>
          <w:rFonts w:ascii="宋体" w:hAnsi="宋体"/>
          <w:bCs/>
          <w:sz w:val="24"/>
        </w:rPr>
        <w:t xml:space="preserve">集合计划</w:t>
      </w:r>
      <w:r>
        <w:rPr>
          <w:rFonts w:ascii="宋体" w:hAnsi="宋体"/>
          <w:color w:val="000000"/>
          <w:sz w:val="24"/>
        </w:rPr>
        <w:t xml:space="preserve">份额的转让</w:t>
      </w:r>
      <w:r>
        <w:rPr>
          <w:rFonts w:ascii="宋体" w:hAnsi="宋体"/>
          <w:color w:val="000000"/>
          <w:sz w:val="24"/>
        </w:rPr>
      </w:r>
      <w:r/>
    </w:p>
    <w:p>
      <w:pPr>
        <w:pStyle w:val="369"/>
        <w:ind w:firstLine="480"/>
        <w:snapToGrid w:val="1"/>
        <w:spacing w:lineRule="auto" w:line="360"/>
        <w:rPr>
          <w:rFonts w:ascii="宋体" w:hAnsi="宋体"/>
          <w:bCs/>
          <w:sz w:val="24"/>
        </w:rPr>
      </w:pPr>
      <w:r>
        <w:rPr>
          <w:rFonts w:ascii="宋体" w:hAnsi="宋体"/>
          <w:color w:val="000000"/>
          <w:sz w:val="24"/>
        </w:rPr>
        <w:t xml:space="preserve">本集合计划暂时不支持份额的转让，但在法律法规允许且条件具备的情况下，管理人可受理</w:t>
      </w:r>
      <w:r>
        <w:rPr>
          <w:rFonts w:ascii="宋体" w:hAnsi="宋体"/>
          <w:sz w:val="24"/>
        </w:rPr>
        <w:t xml:space="preserve">集合计划</w:t>
      </w:r>
      <w:r>
        <w:rPr>
          <w:rFonts w:ascii="宋体" w:hAnsi="宋体"/>
          <w:color w:val="000000"/>
          <w:sz w:val="24"/>
        </w:rPr>
        <w:t xml:space="preserve">份额持有人通</w:t>
      </w:r>
      <w:r>
        <w:rPr>
          <w:rFonts w:ascii="宋体" w:hAnsi="宋体"/>
          <w:bCs/>
          <w:sz w:val="24"/>
        </w:rPr>
        <w:t xml:space="preserve">过中国证监会认可的交易场所或者交易方式进行份额转让的申请，并由登记机构办理集合计划份额的过户登记。管理人拟受理集合计划份额转让业务的，将</w:t>
      </w:r>
      <w:r>
        <w:rPr>
          <w:rFonts w:ascii="宋体" w:hAnsi="宋体"/>
          <w:bCs/>
          <w:sz w:val="24"/>
        </w:rPr>
        <w:t xml:space="preserve">提前公告，</w:t>
      </w:r>
      <w:r>
        <w:rPr>
          <w:rFonts w:ascii="宋体" w:hAnsi="宋体"/>
          <w:sz w:val="24"/>
        </w:rPr>
        <w:t xml:space="preserve">集合计划</w:t>
      </w:r>
      <w:r>
        <w:rPr>
          <w:rFonts w:ascii="宋体" w:hAnsi="宋体"/>
          <w:bCs/>
          <w:sz w:val="24"/>
        </w:rPr>
        <w:t xml:space="preserve">份额持有人应根据管理</w:t>
      </w:r>
      <w:r>
        <w:rPr>
          <w:rFonts w:ascii="宋体" w:hAnsi="宋体"/>
          <w:bCs/>
          <w:sz w:val="24"/>
        </w:rPr>
        <w:t xml:space="preserve">人公告的业务规则办理集合计划份额转让业务。</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如相关法律法规允许管理人办理其他集合计划业务，管理人将制定和实施相应的业务规则。</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十七、实施侧袋机制期间本集合计划的申购与赎回</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本集合计划实施侧袋机制的，本集合计划的申购与赎回安排详见招募说明书或相关公告。</w:t>
      </w:r>
      <w:r/>
    </w:p>
    <w:p>
      <w:pPr>
        <w:pStyle w:val="370"/>
        <w:jc w:val="center"/>
        <w:snapToGrid w:val="1"/>
        <w:spacing w:after="0" w:before="0"/>
        <w:rPr>
          <w:rFonts w:hAnsi="宋体"/>
          <w:color w:val="000000"/>
          <w:sz w:val="30"/>
        </w:rPr>
      </w:pPr>
      <w:r>
        <w:rPr>
          <w:rFonts w:hAnsi="宋体"/>
          <w:b w:val="false"/>
          <w:bCs/>
          <w:color w:val="000000"/>
        </w:rPr>
        <w:br w:type="page"/>
      </w:r>
      <w:bookmarkStart w:id="114" w:name="_Toc141703887"/>
      <w:r/>
      <w:bookmarkStart w:id="115" w:name="_Toc31644"/>
      <w:r/>
      <w:bookmarkStart w:id="116" w:name="_Toc123112235"/>
      <w:r/>
      <w:bookmarkStart w:id="117" w:name="_Toc31653"/>
      <w:r/>
      <w:bookmarkStart w:id="118" w:name="_Toc31235"/>
      <w:r/>
      <w:bookmarkStart w:id="119" w:name="_Toc12245"/>
      <w:r/>
      <w:bookmarkStart w:id="120" w:name="_Toc3601"/>
      <w:r/>
      <w:bookmarkStart w:id="121" w:name="_Toc15143"/>
      <w:r/>
      <w:bookmarkStart w:id="122" w:name="_Toc29251"/>
      <w:r/>
      <w:bookmarkStart w:id="123" w:name="_Toc26207"/>
      <w:r/>
      <w:bookmarkStart w:id="124" w:name="_Toc98560353"/>
      <w:r/>
      <w:bookmarkStart w:id="125" w:name="_Toc123102454"/>
      <w:r/>
      <w:bookmarkStart w:id="126" w:name="_Toc139991737"/>
      <w:r/>
      <w:bookmarkStart w:id="127" w:name="_Toc123051453"/>
      <w:r/>
      <w:bookmarkStart w:id="128" w:name="_Toc6405"/>
      <w:r/>
      <w:bookmarkStart w:id="129" w:name="_Toc14835"/>
      <w:r/>
      <w:bookmarkStart w:id="130" w:name="_Toc58146338"/>
      <w:r>
        <w:rPr>
          <w:rFonts w:hAnsi="宋体"/>
          <w:color w:val="000000"/>
          <w:sz w:val="30"/>
        </w:rPr>
        <w:t xml:space="preserve">第</w:t>
      </w:r>
      <w:r>
        <w:rPr>
          <w:rFonts w:hAnsi="宋体"/>
          <w:color w:val="000000"/>
          <w:sz w:val="30"/>
        </w:rPr>
        <w:t xml:space="preserve">七</w:t>
      </w:r>
      <w:r>
        <w:rPr>
          <w:rFonts w:hAnsi="宋体"/>
          <w:color w:val="000000"/>
          <w:sz w:val="30"/>
        </w:rPr>
        <w:t xml:space="preserve">部分  集合计划合同当事人及权利义务</w:t>
      </w:r>
      <w:bookmarkEnd w:id="114"/>
      <w:r/>
      <w:bookmarkEnd w:id="115"/>
      <w:r/>
      <w:bookmarkEnd w:id="116"/>
      <w:r/>
      <w:bookmarkEnd w:id="117"/>
      <w:r/>
      <w:bookmarkEnd w:id="118"/>
      <w:r/>
      <w:bookmarkEnd w:id="119"/>
      <w:r/>
      <w:bookmarkEnd w:id="120"/>
      <w:r/>
      <w:bookmarkEnd w:id="121"/>
      <w:r/>
      <w:bookmarkEnd w:id="122"/>
      <w:r/>
      <w:bookmarkEnd w:id="123"/>
      <w:r/>
      <w:bookmarkEnd w:id="124"/>
      <w:r/>
      <w:bookmarkEnd w:id="125"/>
      <w:r/>
      <w:bookmarkEnd w:id="126"/>
      <w:r/>
      <w:bookmarkEnd w:id="127"/>
      <w:r/>
      <w:bookmarkEnd w:id="128"/>
      <w:r/>
      <w:bookmarkEnd w:id="129"/>
      <w:r/>
      <w:bookmarkEnd w:id="130"/>
      <w:r/>
      <w:bookmarkStart w:id="131" w:name="_Hlt55355235"/>
      <w:r/>
      <w:bookmarkEnd w:id="131"/>
      <w:r/>
      <w:bookmarkStart w:id="132" w:name="_Toc523711668"/>
      <w:r/>
      <w:bookmarkStart w:id="133" w:name="_Toc57530239"/>
      <w:r/>
      <w:bookmarkStart w:id="134" w:name="_Toc15118234"/>
      <w:r/>
      <w:bookmarkStart w:id="135" w:name="_Toc79392580"/>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w:t>
      </w:r>
      <w:bookmarkEnd w:id="132"/>
      <w:r/>
      <w:bookmarkEnd w:id="133"/>
      <w:r/>
      <w:bookmarkEnd w:id="134"/>
      <w:r/>
      <w:bookmarkEnd w:id="135"/>
      <w:r>
        <w:rPr>
          <w:rFonts w:ascii="宋体" w:hAnsi="宋体"/>
          <w:bCs/>
          <w:sz w:val="24"/>
        </w:rPr>
        <w:t xml:space="preserve">管理人</w:t>
      </w:r>
      <w:r/>
    </w:p>
    <w:p>
      <w:pPr>
        <w:pStyle w:val="369"/>
        <w:ind w:firstLine="480"/>
        <w:snapToGrid w:val="1"/>
        <w:spacing w:lineRule="auto" w:line="360"/>
        <w:rPr>
          <w:rFonts w:ascii="宋体" w:hAnsi="宋体"/>
          <w:bCs/>
          <w:sz w:val="24"/>
        </w:rPr>
      </w:pPr>
      <w:r/>
      <w:bookmarkStart w:id="136" w:name="_Toc15118235"/>
      <w:r>
        <w:rPr>
          <w:rFonts w:ascii="宋体" w:hAnsi="宋体"/>
          <w:bCs/>
          <w:sz w:val="24"/>
        </w:rPr>
        <w:t xml:space="preserve">（一）</w:t>
        <w:tab/>
        <w:t xml:space="preserve">管理人简况</w:t>
      </w:r>
      <w:bookmarkEnd w:id="136"/>
      <w:r>
        <w:rPr>
          <w:rFonts w:ascii="宋体" w:hAnsi="宋体"/>
          <w:bCs/>
          <w:sz w:val="24"/>
        </w:rPr>
      </w:r>
      <w:r/>
    </w:p>
    <w:p>
      <w:pPr>
        <w:pStyle w:val="369"/>
        <w:ind w:firstLine="480"/>
        <w:snapToGrid w:val="1"/>
        <w:spacing w:lineRule="auto" w:line="360"/>
        <w:rPr>
          <w:rFonts w:ascii="宋体" w:hAnsi="宋体"/>
          <w:bCs/>
          <w:sz w:val="24"/>
        </w:rPr>
      </w:pPr>
      <w:r/>
      <w:bookmarkStart w:id="137" w:name="_Toc15118236"/>
      <w:r/>
      <w:bookmarkStart w:id="138" w:name="_Toc15118237"/>
      <w:r>
        <w:rPr>
          <w:rFonts w:ascii="宋体" w:hAnsi="宋体"/>
          <w:bCs/>
          <w:sz w:val="24"/>
        </w:rPr>
        <w:t xml:space="preserve">名称：</w:t>
      </w:r>
      <w:bookmarkEnd w:id="137"/>
      <w:r>
        <w:rPr>
          <w:rFonts w:ascii="宋体" w:hAnsi="宋体"/>
          <w:bCs/>
          <w:sz w:val="24"/>
        </w:rPr>
        <w:t xml:space="preserve">东海证券股份有限公司（简称：东海证券）</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住所：</w:t>
      </w:r>
      <w:r>
        <w:rPr>
          <w:rFonts w:ascii="宋体" w:hAnsi="宋体"/>
          <w:bCs/>
          <w:sz w:val="24"/>
        </w:rPr>
        <w:t xml:space="preserve">江苏省常州市延陵西路23号投资广场18层</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法定代表人：</w:t>
      </w:r>
      <w:r>
        <w:rPr>
          <w:rFonts w:ascii="宋体" w:hAnsi="宋体"/>
          <w:bCs/>
          <w:sz w:val="24"/>
        </w:rPr>
        <w:t xml:space="preserve">钱俊文</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设立日期： </w:t>
      </w:r>
      <w:r>
        <w:rPr>
          <w:rFonts w:ascii="宋体" w:hAnsi="宋体"/>
          <w:bCs/>
          <w:sz w:val="24"/>
        </w:rPr>
        <w:t xml:space="preserve">1993年1月16</w:t>
      </w:r>
      <w:r>
        <w:rPr>
          <w:rFonts w:ascii="宋体" w:hAnsi="宋体"/>
          <w:bCs/>
          <w:sz w:val="24"/>
        </w:rPr>
        <w:t xml:space="preserve">日</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批准设立机关及批准设立文号：</w:t>
      </w:r>
      <w:r>
        <w:rPr>
          <w:rFonts w:ascii="宋体" w:hAnsi="宋体"/>
          <w:bCs/>
          <w:sz w:val="24"/>
        </w:rPr>
        <w:t xml:space="preserve">中国人民银行银复〔1992〕362号</w:t>
      </w:r>
      <w:r/>
    </w:p>
    <w:p>
      <w:pPr>
        <w:pStyle w:val="369"/>
        <w:ind w:firstLine="480"/>
        <w:snapToGrid w:val="1"/>
        <w:spacing w:lineRule="auto" w:line="360"/>
        <w:rPr>
          <w:rFonts w:ascii="宋体" w:hAnsi="宋体"/>
          <w:sz w:val="24"/>
        </w:rPr>
      </w:pPr>
      <w:r>
        <w:rPr>
          <w:rFonts w:ascii="宋体" w:hAnsi="宋体"/>
          <w:sz w:val="24"/>
        </w:rPr>
        <w:t xml:space="preserve">资产管理业务资格批准文号：中国证监会证监机构字</w:t>
      </w:r>
      <w:r>
        <w:rPr>
          <w:rFonts w:ascii="宋体" w:hAnsi="宋体"/>
          <w:bCs/>
          <w:sz w:val="24"/>
        </w:rPr>
        <w:t xml:space="preserve">〔</w:t>
      </w:r>
      <w:r>
        <w:rPr>
          <w:rFonts w:ascii="宋体" w:hAnsi="宋体"/>
          <w:sz w:val="24"/>
        </w:rPr>
        <w:t xml:space="preserve">2005</w:t>
      </w:r>
      <w:r>
        <w:rPr>
          <w:rFonts w:ascii="宋体" w:hAnsi="宋体"/>
          <w:bCs/>
          <w:sz w:val="24"/>
        </w:rPr>
        <w:t xml:space="preserve">〕</w:t>
      </w:r>
      <w:r>
        <w:rPr>
          <w:rFonts w:ascii="宋体" w:hAnsi="宋体"/>
          <w:sz w:val="24"/>
        </w:rPr>
        <w:t xml:space="preserve">77号</w:t>
      </w:r>
      <w:r>
        <w:rPr>
          <w:rFonts w:ascii="宋体" w:hAnsi="宋体"/>
          <w:sz w:val="24"/>
        </w:rPr>
      </w:r>
      <w:r/>
    </w:p>
    <w:p>
      <w:pPr>
        <w:pStyle w:val="369"/>
        <w:ind w:firstLine="480"/>
        <w:snapToGrid w:val="1"/>
        <w:spacing w:lineRule="auto" w:line="360"/>
        <w:rPr>
          <w:rFonts w:ascii="宋体" w:hAnsi="宋体"/>
          <w:bCs/>
          <w:sz w:val="24"/>
        </w:rPr>
      </w:pPr>
      <w:r>
        <w:rPr>
          <w:rFonts w:ascii="宋体" w:hAnsi="宋体"/>
          <w:bCs/>
          <w:sz w:val="24"/>
        </w:rPr>
        <w:t xml:space="preserve">组织形式： </w:t>
      </w:r>
      <w:r>
        <w:rPr>
          <w:rFonts w:ascii="宋体" w:hAnsi="宋体"/>
          <w:bCs/>
          <w:sz w:val="24"/>
        </w:rPr>
        <w:t xml:space="preserve">股份有限公司</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注册资本： </w:t>
      </w:r>
      <w:r>
        <w:rPr>
          <w:rFonts w:ascii="宋体" w:hAnsi="宋体"/>
          <w:bCs/>
          <w:sz w:val="24"/>
        </w:rPr>
        <w:t xml:space="preserve">167</w:t>
      </w:r>
      <w:r>
        <w:rPr>
          <w:rFonts w:ascii="宋体" w:hAnsi="宋体"/>
          <w:bCs/>
          <w:sz w:val="24"/>
        </w:rPr>
        <w:t xml:space="preserve">,</w:t>
      </w:r>
      <w:r>
        <w:rPr>
          <w:rFonts w:ascii="宋体" w:hAnsi="宋体"/>
          <w:bCs/>
          <w:sz w:val="24"/>
        </w:rPr>
        <w:t xml:space="preserve">000万元整</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存续期限：</w:t>
      </w:r>
      <w:r>
        <w:rPr>
          <w:rFonts w:ascii="宋体" w:hAnsi="宋体"/>
          <w:sz w:val="24"/>
        </w:rPr>
        <w:t xml:space="preserve">持续经营</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联系电话：</w:t>
      </w:r>
      <w:r>
        <w:rPr>
          <w:rFonts w:ascii="宋体" w:hAnsi="宋体"/>
          <w:bCs/>
          <w:sz w:val="24"/>
        </w:rPr>
        <w:t xml:space="preserve">021-20333333</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（二）</w:t>
        <w:tab/>
        <w:t xml:space="preserve">管理人的权利与义务</w:t>
      </w:r>
      <w:bookmarkEnd w:id="138"/>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1、根据《基金法》、《运作办法》及其他有关规定，管理人的权利包括但不限于：</w:t>
      </w:r>
      <w:r/>
    </w:p>
    <w:p>
      <w:pPr>
        <w:pStyle w:val="369"/>
        <w:ind w:firstLine="480"/>
        <w:snapToGrid w:val="1"/>
        <w:spacing w:lineRule="auto" w:line="360"/>
        <w:rPr>
          <w:rFonts w:ascii="宋体" w:hAnsi="宋体"/>
          <w:bCs/>
          <w:sz w:val="24"/>
        </w:rPr>
      </w:pPr>
      <w:r>
        <w:rPr>
          <w:rFonts w:ascii="宋体" w:hAnsi="宋体"/>
          <w:bCs/>
          <w:sz w:val="24"/>
        </w:rPr>
        <w:t xml:space="preserve">（1）依法募集资金；</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（2）自《集合计划合同》生效之日起，根据法律法规和《集合计划合同》独立运用并管理</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（3）依照《集合计划合同》收取</w:t>
      </w:r>
      <w:r>
        <w:rPr>
          <w:rFonts w:ascii="宋体" w:hAnsi="宋体"/>
          <w:bCs/>
          <w:sz w:val="24"/>
        </w:rPr>
        <w:t xml:space="preserve">集合计划</w:t>
      </w:r>
      <w:r>
        <w:rPr>
          <w:rFonts w:ascii="宋体" w:hAnsi="宋体"/>
          <w:bCs/>
          <w:sz w:val="24"/>
        </w:rPr>
        <w:t xml:space="preserve">管理费以及法律法规规定或中国证监会批准的其他费用；</w:t>
      </w:r>
      <w:r/>
    </w:p>
    <w:p>
      <w:pPr>
        <w:pStyle w:val="369"/>
        <w:ind w:firstLine="480"/>
        <w:snapToGrid w:val="1"/>
        <w:spacing w:lineRule="auto" w:line="360"/>
        <w:rPr>
          <w:rFonts w:ascii="宋体" w:hAnsi="宋体"/>
          <w:bCs/>
          <w:sz w:val="24"/>
        </w:rPr>
      </w:pPr>
      <w:r>
        <w:rPr>
          <w:rFonts w:ascii="宋体" w:hAnsi="宋体"/>
          <w:bCs/>
          <w:sz w:val="24"/>
        </w:rPr>
        <w:t xml:space="preserve">（4）销售</w:t>
      </w:r>
      <w:r>
        <w:rPr>
          <w:rFonts w:ascii="宋体" w:hAnsi="宋体"/>
          <w:bCs/>
          <w:sz w:val="24"/>
        </w:rPr>
        <w:t xml:space="preserve">集合计划</w:t>
      </w:r>
      <w:r>
        <w:rPr>
          <w:rFonts w:ascii="宋体" w:hAnsi="宋体"/>
          <w:bCs/>
          <w:sz w:val="24"/>
        </w:rPr>
        <w:t xml:space="preserve">份额；</w:t>
      </w:r>
      <w:r/>
    </w:p>
    <w:p>
      <w:pPr>
        <w:pStyle w:val="369"/>
        <w:ind w:firstLine="480"/>
        <w:snapToGrid w:val="1"/>
        <w:spacing w:lineRule="auto" w:line="360"/>
        <w:rPr>
          <w:rFonts w:ascii="宋体" w:hAnsi="宋体"/>
          <w:bCs/>
          <w:sz w:val="24"/>
        </w:rPr>
      </w:pPr>
      <w:r>
        <w:rPr>
          <w:rFonts w:ascii="宋体" w:hAnsi="宋体"/>
          <w:bCs/>
          <w:sz w:val="24"/>
        </w:rPr>
        <w:t xml:space="preserve">（5）</w:t>
      </w:r>
      <w:bookmarkStart w:id="139" w:name="_Hlt88896155"/>
      <w:r>
        <w:rPr>
          <w:rFonts w:ascii="宋体" w:hAnsi="宋体"/>
          <w:bCs/>
          <w:sz w:val="24"/>
        </w:rPr>
        <w:t xml:space="preserve">按照规定</w:t>
      </w:r>
      <w:r>
        <w:rPr>
          <w:rFonts w:ascii="宋体" w:hAnsi="宋体"/>
          <w:bCs/>
          <w:sz w:val="24"/>
        </w:rPr>
        <w:t xml:space="preserve">召集</w:t>
      </w:r>
      <w:bookmarkEnd w:id="139"/>
      <w:r>
        <w:rPr>
          <w:rFonts w:ascii="宋体" w:hAnsi="宋体"/>
          <w:bCs/>
          <w:sz w:val="24"/>
        </w:rPr>
        <w:t xml:space="preserve">集合计划</w:t>
      </w:r>
      <w:r>
        <w:rPr>
          <w:rFonts w:ascii="宋体" w:hAnsi="宋体"/>
          <w:bCs/>
          <w:sz w:val="24"/>
        </w:rPr>
        <w:t xml:space="preserve">份额持有人大会；</w:t>
      </w:r>
      <w:r/>
    </w:p>
    <w:p>
      <w:pPr>
        <w:pStyle w:val="369"/>
        <w:ind w:firstLine="480"/>
        <w:snapToGrid w:val="1"/>
        <w:spacing w:lineRule="auto" w:line="360"/>
        <w:rPr>
          <w:rFonts w:ascii="宋体" w:hAnsi="宋体"/>
          <w:bCs/>
          <w:sz w:val="24"/>
        </w:rPr>
      </w:pPr>
      <w:r>
        <w:rPr>
          <w:rFonts w:ascii="宋体" w:hAnsi="宋体"/>
          <w:bCs/>
          <w:sz w:val="24"/>
        </w:rPr>
        <w:t xml:space="preserve">（6）依据《集合计划合同》及有关法律规定监督托管人，如认为托管人违反了《集合计划合同》及国家有关法律规定，应呈报中国证监会和其他监管部门，并采取必要措施保护</w:t>
      </w:r>
      <w:r>
        <w:rPr>
          <w:rFonts w:ascii="宋体" w:hAnsi="宋体"/>
          <w:bCs/>
          <w:sz w:val="24"/>
        </w:rPr>
        <w:t xml:space="preserve">集合计划</w:t>
      </w:r>
      <w:r>
        <w:rPr>
          <w:rFonts w:ascii="宋体" w:hAnsi="宋体"/>
          <w:bCs/>
          <w:sz w:val="24"/>
        </w:rPr>
        <w:t xml:space="preserve">投资者的利益；</w:t>
      </w:r>
      <w:r/>
    </w:p>
    <w:p>
      <w:pPr>
        <w:pStyle w:val="369"/>
        <w:ind w:firstLine="480"/>
        <w:snapToGrid w:val="1"/>
        <w:spacing w:lineRule="auto" w:line="360"/>
        <w:rPr>
          <w:rFonts w:ascii="宋体" w:hAnsi="宋体"/>
          <w:bCs/>
          <w:sz w:val="24"/>
        </w:rPr>
      </w:pPr>
      <w:r>
        <w:rPr>
          <w:rFonts w:ascii="宋体" w:hAnsi="宋体"/>
          <w:bCs/>
          <w:sz w:val="24"/>
        </w:rPr>
        <w:t xml:space="preserve">（7）在托管人更换时，提名新的托管人；</w:t>
      </w:r>
      <w:r/>
    </w:p>
    <w:p>
      <w:pPr>
        <w:pStyle w:val="369"/>
        <w:ind w:firstLine="480"/>
        <w:snapToGrid w:val="1"/>
        <w:spacing w:lineRule="atLeast" w:line="440"/>
        <w:rPr>
          <w:rFonts w:ascii="宋体" w:hAnsi="宋体"/>
          <w:bCs/>
          <w:sz w:val="24"/>
        </w:rPr>
      </w:pPr>
      <w:r>
        <w:rPr>
          <w:rFonts w:ascii="宋体" w:hAnsi="宋体"/>
          <w:bCs/>
          <w:sz w:val="24"/>
        </w:rPr>
        <w:t xml:space="preserve">（8）选择、更换集合计划销售机构，对集合计划销售机构的相关行为进行监督和处理； </w:t>
      </w:r>
      <w:r/>
    </w:p>
    <w:p>
      <w:pPr>
        <w:pStyle w:val="369"/>
        <w:ind w:firstLine="480"/>
        <w:snapToGrid w:val="1"/>
        <w:spacing w:lineRule="atLeast" w:line="440"/>
        <w:rPr>
          <w:rFonts w:ascii="宋体" w:hAnsi="宋体"/>
          <w:bCs/>
          <w:sz w:val="24"/>
        </w:rPr>
      </w:pPr>
      <w:r>
        <w:rPr>
          <w:rFonts w:ascii="宋体" w:hAnsi="宋体"/>
          <w:bCs/>
          <w:sz w:val="24"/>
        </w:rPr>
        <w:t xml:space="preserve">（9）担任或委托其他符合条件的机构担任集合计划登记机构办理</w:t>
      </w:r>
      <w:r>
        <w:rPr>
          <w:rFonts w:ascii="宋体" w:hAnsi="宋体"/>
          <w:bCs/>
          <w:sz w:val="24"/>
        </w:rPr>
        <w:t xml:space="preserve">集合计划</w:t>
      </w:r>
      <w:r>
        <w:rPr>
          <w:rFonts w:ascii="宋体" w:hAnsi="宋体"/>
          <w:bCs/>
          <w:sz w:val="24"/>
        </w:rPr>
        <w:t xml:space="preserve">登记业务并获得《集合计</w:t>
      </w:r>
      <w:r>
        <w:rPr>
          <w:rFonts w:ascii="宋体" w:hAnsi="宋体"/>
          <w:bCs/>
          <w:sz w:val="24"/>
        </w:rPr>
        <w:t xml:space="preserve">划合同》规定的费用； </w:t>
      </w:r>
      <w:r/>
    </w:p>
    <w:p>
      <w:pPr>
        <w:pStyle w:val="369"/>
        <w:ind w:firstLine="480"/>
        <w:snapToGrid w:val="1"/>
        <w:spacing w:lineRule="atLeast" w:line="440"/>
        <w:rPr>
          <w:rFonts w:ascii="宋体" w:hAnsi="宋体"/>
          <w:bCs/>
          <w:sz w:val="24"/>
        </w:rPr>
      </w:pPr>
      <w:r>
        <w:rPr>
          <w:rFonts w:ascii="宋体" w:hAnsi="宋体"/>
          <w:bCs/>
          <w:sz w:val="24"/>
        </w:rPr>
        <w:t xml:space="preserve">（10）</w:t>
      </w:r>
      <w:r>
        <w:rPr>
          <w:rFonts w:ascii="宋体" w:hAnsi="宋体"/>
          <w:bCs/>
          <w:sz w:val="24"/>
        </w:rPr>
        <w:t xml:space="preserve">依据《集合计划合同》及有关法律规定决定</w:t>
      </w:r>
      <w:r>
        <w:rPr>
          <w:rFonts w:ascii="宋体" w:hAnsi="宋体"/>
          <w:bCs/>
          <w:sz w:val="24"/>
        </w:rPr>
        <w:t xml:space="preserve">集合计划</w:t>
      </w:r>
      <w:r>
        <w:rPr>
          <w:rFonts w:ascii="宋体" w:hAnsi="宋体"/>
          <w:bCs/>
          <w:sz w:val="24"/>
        </w:rPr>
        <w:t xml:space="preserve">收益的分配方案；</w:t>
      </w:r>
      <w:r/>
    </w:p>
    <w:p>
      <w:pPr>
        <w:pStyle w:val="369"/>
        <w:ind w:firstLine="480"/>
        <w:snapToGrid w:val="1"/>
        <w:spacing w:lineRule="atLeast" w:line="440"/>
        <w:rPr>
          <w:rFonts w:ascii="宋体" w:hAnsi="宋体"/>
          <w:bCs/>
          <w:sz w:val="24"/>
        </w:rPr>
      </w:pPr>
      <w:r>
        <w:rPr>
          <w:rFonts w:ascii="宋体" w:hAnsi="宋体"/>
          <w:bCs/>
          <w:sz w:val="24"/>
        </w:rPr>
        <w:t xml:space="preserve">（11）在《集合计划合同》约定的范围内，拒绝或暂停受理申购、赎回</w:t>
      </w:r>
      <w:r>
        <w:rPr>
          <w:rFonts w:ascii="宋体" w:hAnsi="宋体"/>
          <w:bCs/>
          <w:sz w:val="24"/>
        </w:rPr>
        <w:t xml:space="preserve">与转换</w:t>
      </w:r>
      <w:r>
        <w:rPr>
          <w:rFonts w:ascii="宋体" w:hAnsi="宋体"/>
          <w:bCs/>
          <w:sz w:val="24"/>
        </w:rPr>
        <w:t xml:space="preserve">申请； </w:t>
      </w:r>
      <w:r/>
    </w:p>
    <w:p>
      <w:pPr>
        <w:pStyle w:val="369"/>
        <w:ind w:firstLine="480"/>
        <w:snapToGrid w:val="1"/>
        <w:spacing w:lineRule="atLeast" w:line="440"/>
        <w:rPr>
          <w:rFonts w:ascii="宋体" w:hAnsi="宋体"/>
          <w:bCs/>
          <w:sz w:val="24"/>
        </w:rPr>
      </w:pPr>
      <w:r>
        <w:rPr>
          <w:rFonts w:ascii="宋体" w:hAnsi="宋体"/>
          <w:bCs/>
          <w:sz w:val="24"/>
        </w:rPr>
        <w:t xml:space="preserve">（12）依照法律法规为</w:t>
      </w:r>
      <w:r>
        <w:rPr>
          <w:rFonts w:ascii="宋体" w:hAnsi="宋体"/>
          <w:bCs/>
          <w:sz w:val="24"/>
        </w:rPr>
        <w:t xml:space="preserve">集合计划</w:t>
      </w:r>
      <w:r>
        <w:rPr>
          <w:rFonts w:ascii="宋体" w:hAnsi="宋体"/>
          <w:bCs/>
          <w:sz w:val="24"/>
        </w:rPr>
        <w:t xml:space="preserve">的利益对被投资公司行使股东权利，为</w:t>
      </w:r>
      <w:r>
        <w:rPr>
          <w:rFonts w:ascii="宋体" w:hAnsi="宋体"/>
          <w:bCs/>
          <w:sz w:val="24"/>
        </w:rPr>
        <w:t xml:space="preserve">集合计划</w:t>
      </w:r>
      <w:r>
        <w:rPr>
          <w:rFonts w:ascii="宋体" w:hAnsi="宋体"/>
          <w:bCs/>
          <w:sz w:val="24"/>
        </w:rPr>
        <w:t xml:space="preserve">的利益行使因</w:t>
      </w:r>
      <w:r>
        <w:rPr>
          <w:rFonts w:ascii="宋体" w:hAnsi="宋体"/>
          <w:bCs/>
          <w:sz w:val="24"/>
        </w:rPr>
        <w:t xml:space="preserve">集合计划</w:t>
      </w:r>
      <w:r>
        <w:rPr>
          <w:rFonts w:ascii="宋体" w:hAnsi="宋体"/>
          <w:bCs/>
          <w:sz w:val="24"/>
        </w:rPr>
        <w:t xml:space="preserve">财产投资于证券所产生的权利；</w:t>
        <w:tab/>
      </w:r>
      <w:r/>
    </w:p>
    <w:p>
      <w:pPr>
        <w:pStyle w:val="369"/>
        <w:ind w:firstLine="480"/>
        <w:snapToGrid w:val="1"/>
        <w:spacing w:lineRule="atLeast" w:line="440"/>
        <w:rPr>
          <w:rFonts w:ascii="宋体" w:hAnsi="宋体"/>
          <w:bCs/>
          <w:sz w:val="24"/>
        </w:rPr>
      </w:pPr>
      <w:r>
        <w:rPr>
          <w:rFonts w:ascii="宋体" w:hAnsi="宋体"/>
          <w:bCs/>
          <w:sz w:val="24"/>
        </w:rPr>
        <w:t xml:space="preserve">（13）在法律法规允许的前提下，为</w:t>
      </w:r>
      <w:r>
        <w:rPr>
          <w:rFonts w:ascii="宋体" w:hAnsi="宋体"/>
          <w:bCs/>
          <w:sz w:val="24"/>
        </w:rPr>
        <w:t xml:space="preserve">集合计划</w:t>
      </w:r>
      <w:r>
        <w:rPr>
          <w:rFonts w:ascii="宋体" w:hAnsi="宋体"/>
          <w:bCs/>
          <w:sz w:val="24"/>
        </w:rPr>
        <w:t xml:space="preserve">的利益依法为</w:t>
      </w:r>
      <w:r>
        <w:rPr>
          <w:rFonts w:ascii="宋体" w:hAnsi="宋体"/>
          <w:bCs/>
          <w:sz w:val="24"/>
        </w:rPr>
        <w:t xml:space="preserve">集合计划</w:t>
      </w:r>
      <w:r>
        <w:rPr>
          <w:rFonts w:ascii="宋体" w:hAnsi="宋体"/>
          <w:bCs/>
          <w:sz w:val="24"/>
        </w:rPr>
        <w:t xml:space="preserve">进行融资； </w:t>
      </w:r>
      <w:r/>
    </w:p>
    <w:p>
      <w:pPr>
        <w:pStyle w:val="369"/>
        <w:ind w:firstLine="480"/>
        <w:snapToGrid w:val="1"/>
        <w:spacing w:lineRule="atLeast" w:line="440"/>
        <w:rPr>
          <w:rFonts w:ascii="宋体" w:hAnsi="宋体"/>
          <w:bCs/>
          <w:sz w:val="24"/>
        </w:rPr>
      </w:pPr>
      <w:r>
        <w:rPr>
          <w:rFonts w:ascii="宋体" w:hAnsi="宋体"/>
          <w:bCs/>
          <w:sz w:val="24"/>
        </w:rPr>
        <w:t xml:space="preserve">（14）以管理人的名义，代表</w:t>
      </w:r>
      <w:r>
        <w:rPr>
          <w:rFonts w:ascii="宋体" w:hAnsi="宋体"/>
          <w:bCs/>
          <w:sz w:val="24"/>
        </w:rPr>
        <w:t xml:space="preserve">集合计划</w:t>
      </w:r>
      <w:r>
        <w:rPr>
          <w:rFonts w:ascii="宋体" w:hAnsi="宋体"/>
          <w:bCs/>
          <w:sz w:val="24"/>
        </w:rPr>
        <w:t xml:space="preserve">份额持有人的利益行使诉讼权利或者实施其他法律行为；</w:t>
        <w:tab/>
      </w:r>
      <w:r/>
    </w:p>
    <w:p>
      <w:pPr>
        <w:pStyle w:val="369"/>
        <w:ind w:firstLine="480"/>
        <w:snapToGrid w:val="1"/>
        <w:spacing w:lineRule="atLeast" w:line="440"/>
        <w:rPr>
          <w:rFonts w:ascii="宋体" w:hAnsi="宋体"/>
          <w:bCs/>
          <w:sz w:val="24"/>
        </w:rPr>
      </w:pPr>
      <w:r>
        <w:rPr>
          <w:rFonts w:ascii="宋体" w:hAnsi="宋体"/>
          <w:bCs/>
          <w:sz w:val="24"/>
        </w:rPr>
        <w:t xml:space="preserve">（15）选择、更换律师事务所、会计师事务所、证</w:t>
      </w:r>
      <w:r>
        <w:rPr>
          <w:rFonts w:ascii="宋体" w:hAnsi="宋体"/>
          <w:bCs/>
          <w:sz w:val="24"/>
        </w:rPr>
        <w:t xml:space="preserve">券经纪商</w:t>
      </w:r>
      <w:r>
        <w:rPr>
          <w:rFonts w:ascii="宋体" w:hAnsi="宋体"/>
          <w:bCs/>
          <w:sz w:val="24"/>
        </w:rPr>
        <w:t xml:space="preserve">、期货经纪机构</w:t>
      </w:r>
      <w:r>
        <w:rPr>
          <w:rFonts w:ascii="宋体" w:hAnsi="宋体"/>
          <w:bCs/>
          <w:sz w:val="24"/>
        </w:rPr>
        <w:t xml:space="preserve">或其他为</w:t>
      </w:r>
      <w:r>
        <w:rPr>
          <w:rFonts w:ascii="宋体" w:hAnsi="宋体"/>
          <w:bCs/>
          <w:sz w:val="24"/>
        </w:rPr>
        <w:t xml:space="preserve">集合计划</w:t>
      </w:r>
      <w:r>
        <w:rPr>
          <w:rFonts w:ascii="宋体" w:hAnsi="宋体"/>
          <w:bCs/>
          <w:sz w:val="24"/>
        </w:rPr>
        <w:t xml:space="preserve">提供服务的外部机构；</w:t>
        <w:tab/>
      </w:r>
      <w:r/>
    </w:p>
    <w:p>
      <w:pPr>
        <w:pStyle w:val="369"/>
        <w:ind w:firstLine="480"/>
        <w:snapToGrid w:val="1"/>
        <w:spacing w:lineRule="atLeast" w:line="440"/>
        <w:rPr>
          <w:rFonts w:ascii="宋体" w:hAnsi="宋体"/>
          <w:bCs/>
          <w:sz w:val="24"/>
        </w:rPr>
      </w:pPr>
      <w:r>
        <w:rPr>
          <w:rFonts w:ascii="宋体" w:hAnsi="宋体"/>
          <w:bCs/>
          <w:sz w:val="24"/>
        </w:rPr>
        <w:t xml:space="preserve">（16）在符合有关法律、法规的前提下，制订和调整有关</w:t>
      </w:r>
      <w:r>
        <w:rPr>
          <w:rFonts w:ascii="宋体" w:hAnsi="宋体"/>
          <w:bCs/>
          <w:sz w:val="24"/>
        </w:rPr>
        <w:t xml:space="preserve">集合计划</w:t>
      </w:r>
      <w:r>
        <w:rPr>
          <w:rFonts w:ascii="宋体" w:hAnsi="宋体"/>
          <w:bCs/>
          <w:sz w:val="24"/>
        </w:rPr>
        <w:t xml:space="preserve">申购、赎回、转换和非交易过户的业务规则；</w:t>
      </w:r>
      <w:r/>
    </w:p>
    <w:p>
      <w:pPr>
        <w:pStyle w:val="369"/>
        <w:ind w:firstLine="480"/>
        <w:snapToGrid w:val="1"/>
        <w:spacing w:lineRule="atLeast" w:line="440"/>
        <w:rPr>
          <w:rFonts w:ascii="宋体" w:hAnsi="宋体"/>
          <w:bCs/>
          <w:sz w:val="24"/>
        </w:rPr>
      </w:pPr>
      <w:r>
        <w:rPr>
          <w:rFonts w:ascii="宋体" w:hAnsi="宋体"/>
          <w:bCs/>
          <w:sz w:val="24"/>
        </w:rPr>
        <w:t xml:space="preserve">（17）法律法规及中国证监会规定的和《集合计划合同》约定的其他权利。</w:t>
      </w:r>
      <w:r/>
    </w:p>
    <w:p>
      <w:pPr>
        <w:pStyle w:val="369"/>
        <w:ind w:firstLine="480"/>
        <w:snapToGrid w:val="1"/>
        <w:spacing w:lineRule="atLeast" w:line="440"/>
        <w:rPr>
          <w:rFonts w:ascii="宋体" w:hAnsi="宋体"/>
          <w:bCs/>
          <w:sz w:val="24"/>
        </w:rPr>
      </w:pPr>
      <w:r>
        <w:rPr>
          <w:rFonts w:ascii="宋体" w:hAnsi="宋体"/>
          <w:bCs/>
          <w:sz w:val="24"/>
        </w:rPr>
        <w:t xml:space="preserve">2、根据《基金法》、《运作办法》及其他有关规定，管理人的义务包括但不限于：</w:t>
      </w:r>
      <w:r/>
    </w:p>
    <w:p>
      <w:pPr>
        <w:pStyle w:val="369"/>
        <w:ind w:firstLine="480"/>
        <w:snapToGrid w:val="1"/>
        <w:spacing w:lineRule="atLeast" w:line="440"/>
        <w:rPr>
          <w:rFonts w:ascii="宋体" w:hAnsi="宋体"/>
          <w:bCs/>
          <w:sz w:val="24"/>
        </w:rPr>
      </w:pPr>
      <w:r/>
      <w:bookmarkStart w:id="140" w:name="_Toc523711669"/>
      <w:r>
        <w:rPr>
          <w:rFonts w:ascii="宋体" w:hAnsi="宋体"/>
          <w:bCs/>
          <w:sz w:val="24"/>
        </w:rPr>
        <w:t xml:space="preserve">（1）</w:t>
      </w:r>
      <w:r>
        <w:rPr>
          <w:rFonts w:ascii="宋体" w:hAnsi="宋体"/>
          <w:bCs/>
          <w:sz w:val="24"/>
        </w:rPr>
        <w:t xml:space="preserve">依法募集资金，</w:t>
      </w:r>
      <w:r>
        <w:rPr>
          <w:rFonts w:ascii="宋体" w:hAnsi="宋体"/>
          <w:bCs/>
          <w:sz w:val="24"/>
        </w:rPr>
        <w:t xml:space="preserve">办理或者委托经中国证监会认定的其他机构代为办理</w:t>
      </w:r>
      <w:r>
        <w:rPr>
          <w:rFonts w:ascii="宋体" w:hAnsi="宋体"/>
          <w:bCs/>
          <w:sz w:val="24"/>
        </w:rPr>
        <w:t xml:space="preserve">集合计划</w:t>
      </w:r>
      <w:r>
        <w:rPr>
          <w:rFonts w:ascii="宋体" w:hAnsi="宋体"/>
          <w:bCs/>
          <w:sz w:val="24"/>
        </w:rPr>
        <w:t xml:space="preserve">份额的申购、赎回和登记事宜；</w:t>
      </w:r>
      <w:r/>
    </w:p>
    <w:p>
      <w:pPr>
        <w:pStyle w:val="369"/>
        <w:ind w:firstLine="480"/>
        <w:snapToGrid w:val="1"/>
        <w:spacing w:lineRule="atLeast" w:line="440"/>
        <w:rPr>
          <w:rFonts w:ascii="宋体" w:hAnsi="宋体"/>
          <w:bCs/>
          <w:sz w:val="24"/>
        </w:rPr>
      </w:pPr>
      <w:r>
        <w:rPr>
          <w:rFonts w:ascii="宋体" w:hAnsi="宋体"/>
          <w:bCs/>
          <w:sz w:val="24"/>
        </w:rPr>
        <w:t xml:space="preserve">（2）自《集合计划合同》生效之日起</w:t>
      </w:r>
      <w:r>
        <w:rPr>
          <w:rFonts w:ascii="宋体" w:hAnsi="宋体"/>
          <w:bCs/>
          <w:sz w:val="24"/>
        </w:rPr>
        <w:t xml:space="preserve">，</w:t>
      </w:r>
      <w:r>
        <w:rPr>
          <w:rFonts w:ascii="宋体" w:hAnsi="宋体"/>
          <w:bCs/>
          <w:sz w:val="24"/>
        </w:rPr>
        <w:t xml:space="preserve">以诚实信用、谨慎勤勉的原则管理和运用</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tLeast" w:line="440"/>
        <w:rPr>
          <w:rFonts w:ascii="宋体" w:hAnsi="宋体"/>
          <w:bCs/>
          <w:sz w:val="24"/>
        </w:rPr>
      </w:pPr>
      <w:r>
        <w:rPr>
          <w:rFonts w:ascii="宋体" w:hAnsi="宋体"/>
          <w:bCs/>
          <w:sz w:val="24"/>
        </w:rPr>
        <w:t xml:space="preserve">（3）配备</w:t>
      </w:r>
      <w:r>
        <w:rPr>
          <w:rFonts w:ascii="宋体" w:hAnsi="宋体"/>
          <w:bCs/>
          <w:sz w:val="24"/>
        </w:rPr>
        <w:t xml:space="preserve">足够的具有专业资格的人员进行</w:t>
      </w:r>
      <w:r>
        <w:rPr>
          <w:rFonts w:ascii="宋体" w:hAnsi="宋体"/>
          <w:bCs/>
          <w:sz w:val="24"/>
        </w:rPr>
        <w:t xml:space="preserve">集合计划</w:t>
      </w:r>
      <w:r>
        <w:rPr>
          <w:rFonts w:ascii="宋体" w:hAnsi="宋体"/>
          <w:bCs/>
          <w:sz w:val="24"/>
        </w:rPr>
        <w:t xml:space="preserve">投资分析、决策，以专业化的经营方式管理和运作</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tLeast" w:line="440"/>
        <w:rPr>
          <w:rFonts w:ascii="宋体" w:hAnsi="宋体"/>
          <w:bCs/>
          <w:sz w:val="24"/>
        </w:rPr>
      </w:pPr>
      <w:r>
        <w:rPr>
          <w:rFonts w:ascii="宋体" w:hAnsi="宋体"/>
          <w:bCs/>
          <w:sz w:val="24"/>
        </w:rPr>
        <w:t xml:space="preserve">（4）建立健全内部风险控制、监察与稽核、财务管理及人事管理等制度，保证所管理的</w:t>
      </w:r>
      <w:r>
        <w:rPr>
          <w:rFonts w:ascii="宋体" w:hAnsi="宋体"/>
          <w:bCs/>
          <w:sz w:val="24"/>
        </w:rPr>
        <w:t xml:space="preserve">集合计划</w:t>
      </w:r>
      <w:r>
        <w:rPr>
          <w:rFonts w:ascii="宋体" w:hAnsi="宋体"/>
          <w:bCs/>
          <w:sz w:val="24"/>
        </w:rPr>
        <w:t xml:space="preserve">财产和管理人的财产相互独立</w:t>
      </w:r>
      <w:r>
        <w:rPr>
          <w:rFonts w:ascii="宋体" w:hAnsi="宋体"/>
          <w:bCs/>
          <w:sz w:val="24"/>
        </w:rPr>
        <w:t xml:space="preserve">，</w:t>
      </w:r>
      <w:r>
        <w:rPr>
          <w:rFonts w:ascii="宋体" w:hAnsi="宋体"/>
          <w:bCs/>
          <w:sz w:val="24"/>
        </w:rPr>
        <w:t xml:space="preserve">对所管理的不同</w:t>
      </w:r>
      <w:r>
        <w:rPr>
          <w:rFonts w:ascii="宋体" w:hAnsi="宋体"/>
          <w:bCs/>
          <w:sz w:val="24"/>
        </w:rPr>
        <w:t xml:space="preserve">集合计划</w:t>
      </w:r>
      <w:r>
        <w:rPr>
          <w:rFonts w:ascii="宋体" w:hAnsi="宋体"/>
          <w:bCs/>
          <w:sz w:val="24"/>
        </w:rPr>
        <w:t xml:space="preserve">分别管理，分别记账，进行证券投资；</w:t>
      </w:r>
      <w:r/>
    </w:p>
    <w:p>
      <w:pPr>
        <w:pStyle w:val="369"/>
        <w:ind w:firstLine="480"/>
        <w:snapToGrid w:val="1"/>
        <w:spacing w:lineRule="auto" w:line="360"/>
        <w:rPr>
          <w:rFonts w:ascii="宋体" w:hAnsi="宋体"/>
          <w:bCs/>
          <w:sz w:val="24"/>
        </w:rPr>
      </w:pPr>
      <w:r>
        <w:rPr>
          <w:rFonts w:ascii="宋体" w:hAnsi="宋体"/>
          <w:bCs/>
          <w:sz w:val="24"/>
        </w:rPr>
        <w:t xml:space="preserve">（5）除依据《基金法》、《集合计划合同》及其他有关规定外</w:t>
      </w:r>
      <w:r>
        <w:rPr>
          <w:rFonts w:ascii="宋体" w:hAnsi="宋体"/>
          <w:bCs/>
          <w:sz w:val="24"/>
        </w:rPr>
        <w:t xml:space="preserve">，</w:t>
      </w:r>
      <w:r>
        <w:rPr>
          <w:rFonts w:ascii="宋体" w:hAnsi="宋体"/>
          <w:bCs/>
          <w:sz w:val="24"/>
        </w:rPr>
        <w:t xml:space="preserve">不得利用</w:t>
      </w:r>
      <w:r>
        <w:rPr>
          <w:rFonts w:ascii="宋体" w:hAnsi="宋体"/>
          <w:bCs/>
          <w:sz w:val="24"/>
        </w:rPr>
        <w:t xml:space="preserve">集合计划</w:t>
      </w:r>
      <w:r>
        <w:rPr>
          <w:rFonts w:ascii="宋体" w:hAnsi="宋体"/>
          <w:bCs/>
          <w:sz w:val="24"/>
        </w:rPr>
        <w:t xml:space="preserve">财产为自己及任何第三人谋取利益，不得委托第三人运作</w:t>
      </w:r>
      <w:r>
        <w:rPr>
          <w:rFonts w:ascii="宋体" w:hAnsi="宋体"/>
          <w:bCs/>
          <w:sz w:val="24"/>
        </w:rPr>
        <w:t xml:space="preserve">集合计划</w:t>
      </w:r>
      <w:r>
        <w:rPr>
          <w:rFonts w:ascii="宋体" w:hAnsi="宋体"/>
          <w:bCs/>
          <w:sz w:val="24"/>
        </w:rPr>
        <w:t xml:space="preserve">财产；</w:t>
      </w:r>
      <w:bookmarkStart w:id="141" w:name="_Hlt88897298"/>
      <w:r/>
      <w:bookmarkEnd w:id="141"/>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（6）依法接受托管人的监督；</w:t>
      </w:r>
      <w:r/>
    </w:p>
    <w:p>
      <w:pPr>
        <w:pStyle w:val="369"/>
        <w:ind w:firstLine="480"/>
        <w:snapToGrid w:val="1"/>
        <w:spacing w:lineRule="auto" w:line="360"/>
        <w:rPr>
          <w:rFonts w:ascii="宋体" w:hAnsi="宋体"/>
          <w:bCs/>
          <w:sz w:val="24"/>
        </w:rPr>
      </w:pPr>
      <w:r>
        <w:rPr>
          <w:rFonts w:ascii="宋体" w:hAnsi="宋体"/>
          <w:bCs/>
          <w:sz w:val="24"/>
        </w:rPr>
        <w:t xml:space="preserve">（7）采取适当合理的措施使计算</w:t>
      </w:r>
      <w:r>
        <w:rPr>
          <w:rFonts w:ascii="宋体" w:hAnsi="宋体"/>
          <w:bCs/>
          <w:sz w:val="24"/>
        </w:rPr>
        <w:t xml:space="preserve">集合计划</w:t>
      </w:r>
      <w:r>
        <w:rPr>
          <w:rFonts w:ascii="宋体" w:hAnsi="宋体"/>
          <w:bCs/>
          <w:sz w:val="24"/>
        </w:rPr>
        <w:t xml:space="preserve">份额申购、赎回和注销价格的方法符合《</w:t>
      </w:r>
      <w:r>
        <w:rPr>
          <w:rFonts w:ascii="宋体" w:hAnsi="宋体"/>
          <w:bCs/>
          <w:sz w:val="24"/>
        </w:rPr>
        <w:t xml:space="preserve">集合计划合同》等法律文件的规定，按有关规定计算并公告集合</w:t>
      </w:r>
      <w:r>
        <w:rPr>
          <w:rFonts w:ascii="宋体" w:hAnsi="宋体"/>
          <w:bCs/>
          <w:sz w:val="24"/>
        </w:rPr>
        <w:t xml:space="preserve">计划净值</w:t>
      </w:r>
      <w:r>
        <w:rPr>
          <w:rFonts w:ascii="宋体" w:hAnsi="宋体"/>
          <w:bCs/>
          <w:sz w:val="24"/>
        </w:rPr>
        <w:t xml:space="preserve">信息</w:t>
      </w:r>
      <w:r>
        <w:rPr>
          <w:rFonts w:ascii="宋体" w:hAnsi="宋体"/>
          <w:bCs/>
          <w:sz w:val="24"/>
        </w:rPr>
        <w:t xml:space="preserve">，确定</w:t>
      </w:r>
      <w:r>
        <w:rPr>
          <w:rFonts w:ascii="宋体" w:hAnsi="宋体"/>
          <w:bCs/>
          <w:sz w:val="24"/>
        </w:rPr>
        <w:t xml:space="preserve">集合计划</w:t>
      </w:r>
      <w:r>
        <w:rPr>
          <w:rFonts w:ascii="宋体" w:hAnsi="宋体"/>
          <w:bCs/>
          <w:sz w:val="24"/>
        </w:rPr>
        <w:t xml:space="preserve">份额申购、赎回的价格；</w:t>
      </w:r>
      <w:r/>
    </w:p>
    <w:p>
      <w:pPr>
        <w:pStyle w:val="369"/>
        <w:ind w:firstLine="480"/>
        <w:snapToGrid w:val="1"/>
        <w:spacing w:lineRule="auto" w:line="360"/>
        <w:rPr>
          <w:rFonts w:ascii="宋体" w:hAnsi="宋体"/>
          <w:bCs/>
          <w:sz w:val="24"/>
        </w:rPr>
      </w:pPr>
      <w:r>
        <w:rPr>
          <w:rFonts w:ascii="宋体" w:hAnsi="宋体"/>
          <w:bCs/>
          <w:sz w:val="24"/>
        </w:rPr>
        <w:t xml:space="preserve">（8）进行</w:t>
      </w:r>
      <w:r>
        <w:rPr>
          <w:rFonts w:ascii="宋体" w:hAnsi="宋体"/>
          <w:bCs/>
          <w:sz w:val="24"/>
        </w:rPr>
        <w:t xml:space="preserve">集合计划</w:t>
      </w:r>
      <w:r>
        <w:rPr>
          <w:rFonts w:ascii="宋体" w:hAnsi="宋体"/>
          <w:bCs/>
          <w:sz w:val="24"/>
        </w:rPr>
        <w:t xml:space="preserve">会计核算并编制</w:t>
      </w:r>
      <w:r>
        <w:rPr>
          <w:rFonts w:ascii="宋体" w:hAnsi="宋体"/>
          <w:bCs/>
          <w:sz w:val="24"/>
        </w:rPr>
        <w:t xml:space="preserve">集合计划</w:t>
      </w:r>
      <w:r>
        <w:rPr>
          <w:rFonts w:ascii="宋体" w:hAnsi="宋体"/>
          <w:bCs/>
          <w:sz w:val="24"/>
        </w:rPr>
        <w:t xml:space="preserve">财务会计报告；</w:t>
      </w:r>
      <w:r/>
    </w:p>
    <w:p>
      <w:pPr>
        <w:pStyle w:val="369"/>
        <w:ind w:firstLine="480"/>
        <w:snapToGrid w:val="1"/>
        <w:spacing w:lineRule="auto" w:line="360"/>
        <w:rPr>
          <w:rFonts w:ascii="宋体" w:hAnsi="宋体"/>
          <w:bCs/>
          <w:sz w:val="24"/>
        </w:rPr>
      </w:pPr>
      <w:r>
        <w:rPr>
          <w:rFonts w:ascii="宋体" w:hAnsi="宋体"/>
          <w:bCs/>
          <w:sz w:val="24"/>
        </w:rPr>
        <w:t xml:space="preserve">（9）编制季度</w:t>
      </w:r>
      <w:r>
        <w:rPr>
          <w:rFonts w:ascii="宋体" w:hAnsi="宋体"/>
          <w:sz w:val="24"/>
        </w:rPr>
        <w:t xml:space="preserve">报告、中期报告</w:t>
      </w:r>
      <w:r>
        <w:rPr>
          <w:rFonts w:ascii="宋体" w:hAnsi="宋体"/>
          <w:bCs/>
          <w:sz w:val="24"/>
        </w:rPr>
        <w:t xml:space="preserve">和年度报告；</w:t>
      </w:r>
      <w:r/>
    </w:p>
    <w:p>
      <w:pPr>
        <w:pStyle w:val="369"/>
        <w:ind w:firstLine="480"/>
        <w:snapToGrid w:val="1"/>
        <w:spacing w:lineRule="auto" w:line="360"/>
        <w:rPr>
          <w:rFonts w:ascii="宋体" w:hAnsi="宋体"/>
          <w:bCs/>
          <w:sz w:val="24"/>
        </w:rPr>
      </w:pPr>
      <w:r>
        <w:rPr>
          <w:rFonts w:ascii="宋体" w:hAnsi="宋体"/>
          <w:bCs/>
          <w:sz w:val="24"/>
        </w:rPr>
        <w:t xml:space="preserve">（10）严格按照《基金法》、《集合计划合同》及其他有关规定，履行信息披露及报告义务；</w:t>
      </w:r>
      <w:r/>
    </w:p>
    <w:p>
      <w:pPr>
        <w:pStyle w:val="369"/>
        <w:ind w:firstLine="480"/>
        <w:snapToGrid w:val="1"/>
        <w:spacing w:lineRule="auto" w:line="360"/>
        <w:rPr>
          <w:rFonts w:ascii="宋体" w:hAnsi="宋体"/>
          <w:bCs/>
          <w:sz w:val="24"/>
        </w:rPr>
      </w:pPr>
      <w:r>
        <w:rPr>
          <w:rFonts w:ascii="宋体" w:hAnsi="宋体"/>
          <w:bCs/>
          <w:sz w:val="24"/>
        </w:rPr>
        <w:t xml:space="preserve">（11）保守</w:t>
      </w:r>
      <w:r>
        <w:rPr>
          <w:rFonts w:ascii="宋体" w:hAnsi="宋体"/>
          <w:bCs/>
          <w:sz w:val="24"/>
        </w:rPr>
        <w:t xml:space="preserve">集合计划</w:t>
      </w:r>
      <w:r>
        <w:rPr>
          <w:rFonts w:ascii="宋体" w:hAnsi="宋体"/>
          <w:bCs/>
          <w:sz w:val="24"/>
        </w:rPr>
        <w:t xml:space="preserve">商业秘密，不泄露</w:t>
      </w:r>
      <w:r>
        <w:rPr>
          <w:rFonts w:ascii="宋体" w:hAnsi="宋体"/>
          <w:bCs/>
          <w:sz w:val="24"/>
        </w:rPr>
        <w:t xml:space="preserve">集合计划</w:t>
      </w:r>
      <w:r>
        <w:rPr>
          <w:rFonts w:ascii="宋体" w:hAnsi="宋体"/>
          <w:bCs/>
          <w:sz w:val="24"/>
        </w:rPr>
        <w:t xml:space="preserve">投资计划、投资意向等。除《基金法》、《集合计划合同》及其他有关规定另有规定外，在</w:t>
      </w:r>
      <w:r>
        <w:rPr>
          <w:rFonts w:ascii="宋体" w:hAnsi="宋体"/>
          <w:bCs/>
          <w:sz w:val="24"/>
        </w:rPr>
        <w:t xml:space="preserve">集合计划</w:t>
      </w:r>
      <w:r>
        <w:rPr>
          <w:rFonts w:ascii="宋体" w:hAnsi="宋体"/>
          <w:bCs/>
          <w:sz w:val="24"/>
        </w:rPr>
        <w:t xml:space="preserve">信息公开披露前应予保密，不向他人泄露；</w:t>
      </w:r>
      <w:r/>
    </w:p>
    <w:p>
      <w:pPr>
        <w:pStyle w:val="369"/>
        <w:ind w:firstLine="480"/>
        <w:snapToGrid w:val="1"/>
        <w:spacing w:lineRule="auto" w:line="360"/>
        <w:rPr>
          <w:rFonts w:ascii="宋体" w:hAnsi="宋体"/>
          <w:bCs/>
          <w:sz w:val="24"/>
        </w:rPr>
      </w:pPr>
      <w:r>
        <w:rPr>
          <w:rFonts w:ascii="宋体" w:hAnsi="宋体"/>
          <w:bCs/>
          <w:sz w:val="24"/>
        </w:rPr>
        <w:t xml:space="preserve">（12）按《集合计划合同》的约定确定</w:t>
      </w:r>
      <w:r>
        <w:rPr>
          <w:rFonts w:ascii="宋体" w:hAnsi="宋体"/>
          <w:bCs/>
          <w:sz w:val="24"/>
        </w:rPr>
        <w:t xml:space="preserve">集合计划</w:t>
      </w:r>
      <w:r>
        <w:rPr>
          <w:rFonts w:ascii="宋体" w:hAnsi="宋体"/>
          <w:bCs/>
          <w:sz w:val="24"/>
        </w:rPr>
        <w:t xml:space="preserve">收益分</w:t>
      </w:r>
      <w:r>
        <w:rPr>
          <w:rFonts w:ascii="宋体" w:hAnsi="宋体"/>
          <w:bCs/>
          <w:sz w:val="24"/>
        </w:rPr>
        <w:t xml:space="preserve">配方案，及时向集合计划份额持有人分配</w:t>
      </w:r>
      <w:r>
        <w:rPr>
          <w:rFonts w:ascii="宋体" w:hAnsi="宋体"/>
          <w:bCs/>
          <w:sz w:val="24"/>
        </w:rPr>
        <w:t xml:space="preserve">集合计划</w:t>
      </w:r>
      <w:r>
        <w:rPr>
          <w:rFonts w:ascii="宋体" w:hAnsi="宋体"/>
          <w:bCs/>
          <w:sz w:val="24"/>
        </w:rPr>
        <w:t xml:space="preserve">收益；</w:t>
      </w:r>
      <w:r/>
    </w:p>
    <w:p>
      <w:pPr>
        <w:pStyle w:val="369"/>
        <w:ind w:firstLine="480"/>
        <w:snapToGrid w:val="1"/>
        <w:spacing w:lineRule="auto" w:line="360"/>
        <w:rPr>
          <w:rFonts w:ascii="宋体" w:hAnsi="宋体"/>
          <w:bCs/>
          <w:sz w:val="24"/>
        </w:rPr>
      </w:pPr>
      <w:r>
        <w:rPr>
          <w:rFonts w:ascii="宋体" w:hAnsi="宋体"/>
          <w:bCs/>
          <w:sz w:val="24"/>
        </w:rPr>
        <w:t xml:space="preserve">（13）按规定受理申购与赎回申请，及时、足额支付赎回款项；</w:t>
      </w:r>
      <w:r/>
    </w:p>
    <w:p>
      <w:pPr>
        <w:pStyle w:val="369"/>
        <w:ind w:firstLine="480"/>
        <w:snapToGrid w:val="1"/>
        <w:spacing w:lineRule="auto" w:line="360"/>
        <w:rPr>
          <w:rFonts w:ascii="宋体" w:hAnsi="宋体"/>
          <w:bCs/>
          <w:sz w:val="24"/>
        </w:rPr>
      </w:pPr>
      <w:r>
        <w:rPr>
          <w:rFonts w:ascii="宋体" w:hAnsi="宋体"/>
          <w:bCs/>
          <w:sz w:val="24"/>
        </w:rPr>
        <w:t xml:space="preserve">（14）依据《基金法》、《集合计划合同》及其他有关规定召集集合计划份额持有人大会或配合托管人、集合计划份额持有人依法召集集合计划份额持有人大会；</w:t>
      </w:r>
      <w:r/>
    </w:p>
    <w:p>
      <w:pPr>
        <w:pStyle w:val="369"/>
        <w:ind w:firstLine="480"/>
        <w:snapToGrid w:val="1"/>
        <w:spacing w:lineRule="auto" w:line="360"/>
        <w:rPr>
          <w:rFonts w:ascii="宋体" w:hAnsi="宋体"/>
          <w:bCs/>
          <w:sz w:val="24"/>
        </w:rPr>
      </w:pPr>
      <w:r>
        <w:rPr>
          <w:rFonts w:ascii="宋体" w:hAnsi="宋体"/>
          <w:bCs/>
          <w:sz w:val="24"/>
        </w:rPr>
        <w:t xml:space="preserve">（15）按规定保存</w:t>
      </w:r>
      <w:r>
        <w:rPr>
          <w:rFonts w:ascii="宋体" w:hAnsi="宋体"/>
          <w:bCs/>
          <w:sz w:val="24"/>
        </w:rPr>
        <w:t xml:space="preserve">集合计划</w:t>
      </w:r>
      <w:r>
        <w:rPr>
          <w:rFonts w:ascii="宋体" w:hAnsi="宋体"/>
          <w:bCs/>
          <w:sz w:val="24"/>
        </w:rPr>
        <w:t xml:space="preserve">财产管理业务活动的会计账册、报表、记录和其他相关资料</w:t>
      </w:r>
      <w:r>
        <w:rPr>
          <w:rFonts w:ascii="宋体" w:hAnsi="宋体"/>
          <w:sz w:val="24"/>
        </w:rPr>
        <w:t xml:space="preserve">不低于法律法规规定的最低期限</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（16）确保需要向</w:t>
      </w:r>
      <w:r>
        <w:rPr>
          <w:rFonts w:ascii="宋体" w:hAnsi="宋体"/>
          <w:bCs/>
          <w:sz w:val="24"/>
        </w:rPr>
        <w:t xml:space="preserve">集合计划</w:t>
      </w:r>
      <w:r>
        <w:rPr>
          <w:rFonts w:ascii="宋体" w:hAnsi="宋体"/>
          <w:bCs/>
          <w:sz w:val="24"/>
        </w:rPr>
        <w:t xml:space="preserve">投资者提供的各项文件或资料在规定时间发出，并且保证投资者能够按照《集合计划合同》规定的时间和方式，随时查阅到与</w:t>
      </w:r>
      <w:r>
        <w:rPr>
          <w:rFonts w:ascii="宋体" w:hAnsi="宋体"/>
          <w:bCs/>
          <w:sz w:val="24"/>
        </w:rPr>
        <w:t xml:space="preserve">集合计划</w:t>
      </w:r>
      <w:r>
        <w:rPr>
          <w:rFonts w:ascii="宋体" w:hAnsi="宋体"/>
          <w:bCs/>
          <w:sz w:val="24"/>
        </w:rPr>
        <w:t xml:space="preserve">有关的公开资料，并在支付合理成本的条件下得到有关资料的复</w:t>
      </w:r>
      <w:r>
        <w:rPr>
          <w:rFonts w:ascii="宋体" w:hAnsi="宋体"/>
          <w:bCs/>
          <w:sz w:val="24"/>
        </w:rPr>
        <w:t xml:space="preserve">印件；</w:t>
      </w:r>
      <w:r/>
    </w:p>
    <w:p>
      <w:pPr>
        <w:pStyle w:val="369"/>
        <w:ind w:firstLine="480"/>
        <w:snapToGrid w:val="1"/>
        <w:spacing w:lineRule="auto" w:line="360"/>
        <w:rPr>
          <w:rFonts w:ascii="宋体" w:hAnsi="宋体"/>
          <w:bCs/>
          <w:sz w:val="24"/>
        </w:rPr>
      </w:pPr>
      <w:r>
        <w:rPr>
          <w:rFonts w:ascii="宋体" w:hAnsi="宋体"/>
          <w:bCs/>
          <w:sz w:val="24"/>
        </w:rPr>
        <w:t xml:space="preserve">（17）组织并参加</w:t>
      </w:r>
      <w:r>
        <w:rPr>
          <w:rFonts w:ascii="宋体" w:hAnsi="宋体"/>
          <w:bCs/>
          <w:sz w:val="24"/>
        </w:rPr>
        <w:t xml:space="preserve">集合计划</w:t>
      </w:r>
      <w:r>
        <w:rPr>
          <w:rFonts w:ascii="宋体" w:hAnsi="宋体"/>
          <w:bCs/>
          <w:sz w:val="24"/>
        </w:rPr>
        <w:t xml:space="preserve">财产清算小组</w:t>
      </w:r>
      <w:r>
        <w:rPr>
          <w:rFonts w:ascii="宋体" w:hAnsi="宋体"/>
          <w:bCs/>
          <w:sz w:val="24"/>
        </w:rPr>
        <w:t xml:space="preserve">，</w:t>
      </w:r>
      <w:r>
        <w:rPr>
          <w:rFonts w:ascii="宋体" w:hAnsi="宋体"/>
          <w:bCs/>
          <w:sz w:val="24"/>
        </w:rPr>
        <w:t xml:space="preserve">参与</w:t>
      </w:r>
      <w:r>
        <w:rPr>
          <w:rFonts w:ascii="宋体" w:hAnsi="宋体"/>
          <w:bCs/>
          <w:sz w:val="24"/>
        </w:rPr>
        <w:t xml:space="preserve">集合计划</w:t>
      </w:r>
      <w:r>
        <w:rPr>
          <w:rFonts w:ascii="宋体" w:hAnsi="宋体"/>
          <w:bCs/>
          <w:sz w:val="24"/>
        </w:rPr>
        <w:t xml:space="preserve">财产的保管、清理、估价、变现和分配；</w:t>
      </w:r>
      <w:r/>
    </w:p>
    <w:p>
      <w:pPr>
        <w:pStyle w:val="369"/>
        <w:ind w:firstLine="480"/>
        <w:snapToGrid w:val="1"/>
        <w:spacing w:lineRule="auto" w:line="360"/>
        <w:rPr>
          <w:rFonts w:ascii="宋体" w:hAnsi="宋体"/>
          <w:bCs/>
          <w:sz w:val="24"/>
        </w:rPr>
      </w:pPr>
      <w:r>
        <w:rPr>
          <w:rFonts w:ascii="宋体" w:hAnsi="宋体"/>
          <w:bCs/>
          <w:sz w:val="24"/>
        </w:rPr>
        <w:t xml:space="preserve">（18）面临解散、依法被撤销或者被依法宣告破产时，及时报告中国证监会并通知托管人；</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w:t>
      </w:r>
      <w:r>
        <w:rPr>
          <w:rFonts w:ascii="宋体" w:hAnsi="宋体"/>
          <w:bCs/>
          <w:sz w:val="24"/>
        </w:rPr>
        <w:t xml:space="preserve">9）因违反《集合计划合同》导致</w:t>
      </w:r>
      <w:r>
        <w:rPr>
          <w:rFonts w:ascii="宋体" w:hAnsi="宋体"/>
          <w:bCs/>
          <w:sz w:val="24"/>
        </w:rPr>
        <w:t xml:space="preserve">集合计划</w:t>
      </w:r>
      <w:r>
        <w:rPr>
          <w:rFonts w:ascii="宋体" w:hAnsi="宋体"/>
          <w:bCs/>
          <w:sz w:val="24"/>
        </w:rPr>
        <w:t xml:space="preserve">财产的损失或损害集合计划份额持有人合法权益时，应当承担赔偿责任，其赔偿责任不因其退任而免除；</w:t>
      </w:r>
      <w:r/>
    </w:p>
    <w:p>
      <w:pPr>
        <w:pStyle w:val="369"/>
        <w:ind w:firstLine="480"/>
        <w:snapToGrid w:val="1"/>
        <w:spacing w:lineRule="auto" w:line="360"/>
        <w:rPr>
          <w:rFonts w:ascii="宋体" w:hAnsi="宋体"/>
          <w:bCs/>
          <w:sz w:val="24"/>
        </w:rPr>
      </w:pPr>
      <w:r>
        <w:rPr>
          <w:rFonts w:ascii="宋体" w:hAnsi="宋体"/>
          <w:bCs/>
          <w:sz w:val="24"/>
        </w:rPr>
        <w:t xml:space="preserve">（20）监督托管人按法律法规和《集合计划合同》规定履行自己的义务，托管人违反《集合计划合同》造成</w:t>
      </w:r>
      <w:r>
        <w:rPr>
          <w:rFonts w:ascii="宋体" w:hAnsi="宋体"/>
          <w:bCs/>
          <w:sz w:val="24"/>
        </w:rPr>
        <w:t xml:space="preserve">集合计划</w:t>
      </w:r>
      <w:r>
        <w:rPr>
          <w:rFonts w:ascii="宋体" w:hAnsi="宋体"/>
          <w:bCs/>
          <w:sz w:val="24"/>
        </w:rPr>
        <w:t xml:space="preserve">财产损失时，管理人应为集合计划份额</w:t>
      </w:r>
      <w:r>
        <w:rPr>
          <w:rFonts w:ascii="宋体" w:hAnsi="宋体"/>
          <w:bCs/>
          <w:sz w:val="24"/>
        </w:rPr>
        <w:t xml:space="preserve">持有人利益向托管人追偿；</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1）当管理人将其义务委托第三方处理时，应当对第三方处理有关</w:t>
      </w:r>
      <w:r>
        <w:rPr>
          <w:rFonts w:ascii="宋体" w:hAnsi="宋体"/>
          <w:bCs/>
          <w:sz w:val="24"/>
        </w:rPr>
        <w:t xml:space="preserve">集合计划</w:t>
      </w:r>
      <w:r>
        <w:rPr>
          <w:rFonts w:ascii="宋体" w:hAnsi="宋体"/>
          <w:bCs/>
          <w:sz w:val="24"/>
        </w:rPr>
        <w:t xml:space="preserve">事务的行为承担责任；</w:t>
      </w:r>
      <w:r/>
    </w:p>
    <w:p>
      <w:pPr>
        <w:pStyle w:val="369"/>
        <w:ind w:firstLine="480"/>
        <w:snapToGrid w:val="1"/>
        <w:spacing w:lineRule="auto" w:line="360"/>
        <w:rPr>
          <w:rFonts w:ascii="宋体" w:hAnsi="宋体"/>
          <w:bCs/>
          <w:sz w:val="24"/>
        </w:rPr>
      </w:pPr>
      <w:r>
        <w:rPr>
          <w:rFonts w:ascii="宋体" w:hAnsi="宋体"/>
          <w:bCs/>
          <w:sz w:val="24"/>
        </w:rPr>
        <w:t xml:space="preserve">（22）以管理人名义，代表集合计划份额持有人利益行使诉讼权利或实施其他法律行为；</w:t>
      </w:r>
      <w:r/>
    </w:p>
    <w:p>
      <w:pPr>
        <w:pStyle w:val="369"/>
        <w:ind w:firstLine="480"/>
        <w:snapToGrid w:val="1"/>
        <w:spacing w:lineRule="auto" w:line="360"/>
        <w:rPr>
          <w:rFonts w:ascii="宋体" w:hAnsi="宋体"/>
          <w:bCs/>
          <w:sz w:val="24"/>
        </w:rPr>
      </w:pPr>
      <w:r>
        <w:rPr>
          <w:rFonts w:ascii="宋体" w:hAnsi="宋体"/>
          <w:bCs/>
          <w:sz w:val="24"/>
        </w:rPr>
        <w:t xml:space="preserve">（23）执行生效的集合计划份额持有人大会的</w:t>
      </w:r>
      <w:r>
        <w:rPr>
          <w:rFonts w:ascii="宋体" w:hAnsi="宋体"/>
          <w:bCs/>
          <w:sz w:val="24"/>
        </w:rPr>
        <w:t xml:space="preserve">决议</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（24）建立并保存集合计划份额持有人名册；</w:t>
      </w:r>
      <w:r/>
    </w:p>
    <w:p>
      <w:pPr>
        <w:pStyle w:val="369"/>
        <w:ind w:firstLine="480"/>
        <w:snapToGrid w:val="1"/>
        <w:spacing w:lineRule="auto" w:line="360"/>
        <w:rPr>
          <w:rFonts w:ascii="宋体" w:hAnsi="宋体"/>
          <w:bCs/>
          <w:sz w:val="24"/>
        </w:rPr>
      </w:pPr>
      <w:r>
        <w:rPr>
          <w:rFonts w:ascii="宋体" w:hAnsi="宋体"/>
          <w:bCs/>
          <w:sz w:val="24"/>
        </w:rPr>
        <w:t xml:space="preserve">（25）法律法规及中国证监会规定的和《集合计划合同》约定的其他义务。</w:t>
      </w:r>
      <w:r/>
    </w:p>
    <w:p>
      <w:pPr>
        <w:pStyle w:val="369"/>
        <w:ind w:firstLine="480"/>
        <w:snapToGrid w:val="1"/>
        <w:spacing w:lineRule="auto" w:line="360"/>
        <w:rPr>
          <w:rFonts w:ascii="宋体" w:hAnsi="宋体"/>
          <w:bCs/>
          <w:sz w:val="24"/>
        </w:rPr>
      </w:pPr>
      <w:r/>
      <w:bookmarkStart w:id="142" w:name="_Toc57530240"/>
      <w:r/>
      <w:bookmarkStart w:id="143" w:name="_Toc15118238"/>
      <w:r/>
      <w:bookmarkStart w:id="144" w:name="_Toc79392581"/>
      <w:r>
        <w:rPr>
          <w:rFonts w:ascii="宋体" w:hAnsi="宋体"/>
          <w:bCs/>
          <w:sz w:val="24"/>
        </w:rPr>
        <w:t xml:space="preserve">二、</w:t>
      </w:r>
      <w:bookmarkEnd w:id="140"/>
      <w:r/>
      <w:bookmarkEnd w:id="142"/>
      <w:r/>
      <w:bookmarkEnd w:id="143"/>
      <w:r/>
      <w:bookmarkEnd w:id="144"/>
      <w:r>
        <w:rPr>
          <w:rFonts w:ascii="宋体" w:hAnsi="宋体"/>
          <w:bCs/>
          <w:sz w:val="24"/>
        </w:rPr>
        <w:t xml:space="preserve">托管人</w:t>
      </w:r>
      <w:r/>
    </w:p>
    <w:p>
      <w:pPr>
        <w:pStyle w:val="369"/>
        <w:ind w:firstLine="480"/>
        <w:snapToGrid w:val="1"/>
        <w:spacing w:lineRule="auto" w:line="360"/>
        <w:rPr>
          <w:rFonts w:ascii="宋体" w:hAnsi="宋体"/>
          <w:bCs/>
          <w:sz w:val="24"/>
        </w:rPr>
      </w:pPr>
      <w:r/>
      <w:bookmarkStart w:id="145" w:name="_Toc15118239"/>
      <w:r>
        <w:rPr>
          <w:rFonts w:ascii="宋体" w:hAnsi="宋体"/>
          <w:bCs/>
          <w:sz w:val="24"/>
        </w:rPr>
        <w:t xml:space="preserve">（一）</w:t>
        <w:tab/>
        <w:t xml:space="preserve">托管人简况</w:t>
      </w:r>
      <w:bookmarkEnd w:id="145"/>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名称：交通银行股份有限公司</w:t>
      </w:r>
      <w:r>
        <w:rPr>
          <w:rFonts w:ascii="宋体" w:hAnsi="宋体"/>
          <w:bCs/>
          <w:sz w:val="24"/>
        </w:rPr>
        <w:t xml:space="preserve">（简称：交通银行）</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住所：</w:t>
      </w:r>
      <w:r>
        <w:rPr>
          <w:rFonts w:ascii="宋体" w:hAnsi="宋体"/>
          <w:bCs/>
          <w:sz w:val="24"/>
        </w:rPr>
        <w:t xml:space="preserve">上海市</w:t>
      </w:r>
      <w:r>
        <w:rPr>
          <w:rFonts w:ascii="宋体" w:hAnsi="宋体"/>
          <w:sz w:val="24"/>
        </w:rPr>
        <w:t xml:space="preserve">浦东新区</w:t>
      </w:r>
      <w:r>
        <w:rPr>
          <w:rFonts w:ascii="宋体" w:hAnsi="宋体"/>
          <w:bCs/>
          <w:sz w:val="24"/>
        </w:rPr>
        <w:t xml:space="preserve">银城中路188号</w:t>
      </w:r>
      <w:r>
        <w:rPr>
          <w:rFonts w:ascii="宋体" w:hAnsi="宋体"/>
          <w:sz w:val="24"/>
        </w:rPr>
        <w:t xml:space="preserve">（邮政编码：200120）</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法定代</w:t>
      </w:r>
      <w:r>
        <w:rPr>
          <w:rFonts w:ascii="宋体" w:hAnsi="宋体"/>
          <w:bCs/>
          <w:sz w:val="24"/>
        </w:rPr>
        <w:t xml:space="preserve">表人：</w:t>
      </w:r>
      <w:r>
        <w:rPr>
          <w:rFonts w:ascii="宋体" w:hAnsi="宋体"/>
          <w:sz w:val="24"/>
        </w:rPr>
        <w:t xml:space="preserve">任德奇</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成立时间：</w:t>
      </w:r>
      <w:r>
        <w:rPr>
          <w:rFonts w:ascii="宋体" w:hAnsi="宋体"/>
          <w:sz w:val="24"/>
        </w:rPr>
        <w:t xml:space="preserve">19</w:t>
      </w:r>
      <w:r>
        <w:rPr>
          <w:rFonts w:ascii="宋体" w:hAnsi="宋体"/>
          <w:sz w:val="24"/>
        </w:rPr>
        <w:t xml:space="preserve">87</w:t>
      </w:r>
      <w:r>
        <w:rPr>
          <w:rFonts w:ascii="宋体" w:hAnsi="宋体"/>
          <w:sz w:val="24"/>
        </w:rPr>
        <w:t xml:space="preserve">年</w:t>
      </w:r>
      <w:r>
        <w:rPr>
          <w:rFonts w:ascii="宋体" w:hAnsi="宋体"/>
          <w:sz w:val="24"/>
        </w:rPr>
        <w:t xml:space="preserve">3</w:t>
      </w:r>
      <w:r>
        <w:rPr>
          <w:rFonts w:ascii="宋体" w:hAnsi="宋体"/>
          <w:sz w:val="24"/>
        </w:rPr>
        <w:t xml:space="preserve">月</w:t>
      </w:r>
      <w:r>
        <w:rPr>
          <w:rFonts w:ascii="宋体" w:hAnsi="宋体"/>
          <w:sz w:val="24"/>
        </w:rPr>
        <w:t xml:space="preserve">30</w:t>
      </w:r>
      <w:r>
        <w:rPr>
          <w:rFonts w:ascii="宋体" w:hAnsi="宋体"/>
          <w:sz w:val="24"/>
        </w:rPr>
        <w:t xml:space="preserve">日</w:t>
      </w:r>
      <w:r>
        <w:rPr>
          <w:rFonts w:ascii="宋体" w:hAnsi="宋体"/>
          <w:bCs/>
          <w:sz w:val="24"/>
        </w:rPr>
      </w:r>
      <w:r/>
    </w:p>
    <w:p>
      <w:pPr>
        <w:pStyle w:val="369"/>
        <w:ind w:firstLine="480"/>
        <w:snapToGrid w:val="1"/>
        <w:spacing w:lineRule="auto" w:line="360"/>
        <w:rPr>
          <w:rFonts w:ascii="宋体" w:hAnsi="宋体"/>
          <w:sz w:val="24"/>
        </w:rPr>
      </w:pPr>
      <w:r>
        <w:rPr>
          <w:rFonts w:ascii="宋体" w:hAnsi="宋体"/>
          <w:bCs/>
          <w:sz w:val="24"/>
        </w:rPr>
        <w:t xml:space="preserve">批准设立机关和批准设立文号：</w:t>
      </w:r>
      <w:r>
        <w:rPr>
          <w:rFonts w:ascii="宋体" w:hAnsi="宋体"/>
          <w:sz w:val="24"/>
        </w:rPr>
        <w:t xml:space="preserve">国务院国发(1986)字第81号文和中国人民银行银发〔1987〕40号文</w:t>
      </w:r>
      <w:r>
        <w:rPr>
          <w:rFonts w:ascii="宋体" w:hAnsi="宋体"/>
          <w:sz w:val="24"/>
        </w:rPr>
      </w:r>
      <w:r/>
    </w:p>
    <w:p>
      <w:pPr>
        <w:pStyle w:val="369"/>
        <w:ind w:firstLine="480"/>
        <w:snapToGrid w:val="1"/>
        <w:spacing w:lineRule="auto" w:line="360"/>
        <w:rPr>
          <w:rFonts w:ascii="宋体" w:hAnsi="宋体"/>
          <w:bCs/>
          <w:sz w:val="24"/>
        </w:rPr>
      </w:pPr>
      <w:r>
        <w:rPr>
          <w:rFonts w:ascii="宋体" w:hAnsi="宋体"/>
          <w:bCs/>
          <w:sz w:val="24"/>
        </w:rPr>
        <w:t xml:space="preserve">组织形式</w:t>
      </w:r>
      <w:r>
        <w:rPr>
          <w:rFonts w:ascii="宋体" w:hAnsi="宋体"/>
          <w:bCs/>
          <w:sz w:val="24"/>
        </w:rPr>
        <w:t xml:space="preserve">：</w:t>
      </w:r>
      <w:r>
        <w:rPr>
          <w:rFonts w:ascii="宋体" w:hAnsi="宋体"/>
          <w:sz w:val="24"/>
        </w:rPr>
        <w:t xml:space="preserve">股份有限公司</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注册资本：</w:t>
      </w:r>
      <w:r>
        <w:rPr>
          <w:rFonts w:ascii="宋体" w:hAnsi="宋体"/>
          <w:sz w:val="24"/>
        </w:rPr>
        <w:t xml:space="preserve">742.63</w:t>
      </w:r>
      <w:r>
        <w:rPr>
          <w:rFonts w:ascii="宋体" w:hAnsi="宋体"/>
          <w:sz w:val="24"/>
        </w:rPr>
        <w:t xml:space="preserve">亿元人民币</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存续期间：</w:t>
      </w:r>
      <w:r>
        <w:rPr>
          <w:rFonts w:ascii="宋体" w:hAnsi="宋体"/>
          <w:sz w:val="24"/>
        </w:rPr>
        <w:t xml:space="preserve">持续经营</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基金托管资格批文及文号：</w:t>
      </w:r>
      <w:r>
        <w:rPr>
          <w:rFonts w:ascii="宋体" w:hAnsi="宋体"/>
          <w:sz w:val="24"/>
        </w:rPr>
        <w:t xml:space="preserve">中国证监会证监基字〔</w:t>
      </w:r>
      <w:r>
        <w:rPr>
          <w:rFonts w:ascii="宋体" w:hAnsi="宋体"/>
          <w:sz w:val="24"/>
        </w:rPr>
        <w:t xml:space="preserve">1998</w:t>
      </w:r>
      <w:r>
        <w:rPr>
          <w:rFonts w:ascii="宋体" w:hAnsi="宋体"/>
          <w:sz w:val="24"/>
        </w:rPr>
        <w:t xml:space="preserve">〕</w:t>
      </w:r>
      <w:r>
        <w:rPr>
          <w:rFonts w:ascii="宋体" w:hAnsi="宋体"/>
          <w:sz w:val="24"/>
        </w:rPr>
        <w:t xml:space="preserve">25</w:t>
      </w:r>
      <w:r>
        <w:rPr>
          <w:rFonts w:ascii="宋体" w:hAnsi="宋体"/>
          <w:sz w:val="24"/>
        </w:rPr>
        <w:t xml:space="preserve">号</w:t>
      </w:r>
      <w:r>
        <w:rPr>
          <w:rFonts w:ascii="宋体" w:hAnsi="宋体"/>
          <w:bCs/>
          <w:sz w:val="24"/>
        </w:rPr>
      </w:r>
      <w:r/>
    </w:p>
    <w:p>
      <w:pPr>
        <w:pStyle w:val="369"/>
        <w:ind w:firstLine="480"/>
        <w:snapToGrid w:val="1"/>
        <w:spacing w:lineRule="auto" w:line="360"/>
        <w:rPr>
          <w:rFonts w:ascii="宋体" w:hAnsi="宋体"/>
          <w:bCs/>
          <w:sz w:val="24"/>
        </w:rPr>
      </w:pPr>
      <w:r/>
      <w:bookmarkStart w:id="146" w:name="_Toc15118240"/>
      <w:r>
        <w:rPr>
          <w:rFonts w:ascii="宋体" w:hAnsi="宋体"/>
          <w:bCs/>
          <w:sz w:val="24"/>
        </w:rPr>
        <w:t xml:space="preserve">（二）</w:t>
        <w:tab/>
        <w:t xml:space="preserve">托管人的权利与义务</w:t>
      </w:r>
      <w:bookmarkEnd w:id="146"/>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1、根据《基金法》、《运作办法》及其他有关规定，托管人的权利包括但不限于：</w:t>
      </w:r>
      <w:r/>
    </w:p>
    <w:p>
      <w:pPr>
        <w:pStyle w:val="369"/>
        <w:ind w:firstLine="480"/>
        <w:snapToGrid w:val="1"/>
        <w:spacing w:lineRule="auto" w:line="360"/>
        <w:rPr>
          <w:rFonts w:ascii="宋体" w:hAnsi="宋体"/>
          <w:bCs/>
          <w:sz w:val="24"/>
        </w:rPr>
      </w:pPr>
      <w:r>
        <w:rPr>
          <w:rFonts w:ascii="宋体" w:hAnsi="宋体"/>
          <w:bCs/>
          <w:sz w:val="24"/>
        </w:rPr>
        <w:t xml:space="preserve">（1）自《集合计划合同》生效之日起，依法律法规和《集合计划合同》的规定安全保管</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（2）依《集合计划合同》约</w:t>
      </w:r>
      <w:r>
        <w:rPr>
          <w:rFonts w:ascii="宋体" w:hAnsi="宋体"/>
          <w:bCs/>
          <w:sz w:val="24"/>
        </w:rPr>
        <w:t xml:space="preserve">定获得</w:t>
      </w:r>
      <w:r>
        <w:rPr>
          <w:rFonts w:ascii="宋体" w:hAnsi="宋体"/>
          <w:bCs/>
          <w:sz w:val="24"/>
        </w:rPr>
        <w:t xml:space="preserve">集合计划</w:t>
      </w:r>
      <w:r>
        <w:rPr>
          <w:rFonts w:ascii="宋体" w:hAnsi="宋体"/>
          <w:bCs/>
          <w:sz w:val="24"/>
        </w:rPr>
        <w:t xml:space="preserve">托管费以及法律法规规定或监管</w:t>
      </w:r>
      <w:r>
        <w:rPr>
          <w:rFonts w:ascii="宋体" w:hAnsi="宋体"/>
          <w:bCs/>
          <w:sz w:val="24"/>
        </w:rPr>
        <w:t xml:space="preserve">部门批准的其他费用；</w:t>
      </w:r>
      <w:r/>
    </w:p>
    <w:p>
      <w:pPr>
        <w:pStyle w:val="369"/>
        <w:ind w:firstLine="480"/>
        <w:snapToGrid w:val="1"/>
        <w:spacing w:lineRule="auto" w:line="360"/>
        <w:rPr>
          <w:rFonts w:ascii="宋体" w:hAnsi="宋体"/>
          <w:bCs/>
          <w:sz w:val="24"/>
        </w:rPr>
      </w:pPr>
      <w:r>
        <w:rPr>
          <w:rFonts w:ascii="宋体" w:hAnsi="宋体"/>
          <w:bCs/>
          <w:sz w:val="24"/>
        </w:rPr>
        <w:t xml:space="preserve">（3）监督管理人对本集合计划的投资运作，如发现管理人有违反《集合计划合同》及国家法律法规行为，对</w:t>
      </w:r>
      <w:r>
        <w:rPr>
          <w:rFonts w:ascii="宋体" w:hAnsi="宋体"/>
          <w:bCs/>
          <w:sz w:val="24"/>
        </w:rPr>
        <w:t xml:space="preserve">集合计划</w:t>
      </w:r>
      <w:r>
        <w:rPr>
          <w:rFonts w:ascii="宋体" w:hAnsi="宋体"/>
          <w:bCs/>
          <w:sz w:val="24"/>
        </w:rPr>
        <w:t xml:space="preserve">财产、其他当事人的利益造成重大损失的情形，应呈报中国证监会，并采取必要措施保护</w:t>
      </w:r>
      <w:r>
        <w:rPr>
          <w:rFonts w:ascii="宋体" w:hAnsi="宋体"/>
          <w:bCs/>
          <w:sz w:val="24"/>
        </w:rPr>
        <w:t xml:space="preserve">集合计划</w:t>
      </w:r>
      <w:r>
        <w:rPr>
          <w:rFonts w:ascii="宋体" w:hAnsi="宋体"/>
          <w:bCs/>
          <w:sz w:val="24"/>
        </w:rPr>
        <w:t xml:space="preserve">投资者的利益；</w:t>
      </w:r>
      <w:r/>
    </w:p>
    <w:p>
      <w:pPr>
        <w:pStyle w:val="369"/>
        <w:ind w:firstLine="480"/>
        <w:snapToGrid w:val="1"/>
        <w:spacing w:lineRule="auto" w:line="360"/>
        <w:rPr>
          <w:rFonts w:ascii="宋体" w:hAnsi="宋体"/>
          <w:bCs/>
          <w:sz w:val="24"/>
        </w:rPr>
      </w:pPr>
      <w:r>
        <w:rPr>
          <w:rFonts w:ascii="宋体" w:hAnsi="宋体"/>
          <w:bCs/>
          <w:sz w:val="24"/>
        </w:rPr>
        <w:t xml:space="preserve">（4）根据相关市场规则，为</w:t>
      </w:r>
      <w:r>
        <w:rPr>
          <w:rFonts w:ascii="宋体" w:hAnsi="宋体"/>
          <w:bCs/>
          <w:sz w:val="24"/>
        </w:rPr>
        <w:t xml:space="preserve">集合计划</w:t>
      </w:r>
      <w:r>
        <w:rPr>
          <w:rFonts w:ascii="宋体" w:hAnsi="宋体"/>
          <w:bCs/>
          <w:sz w:val="24"/>
        </w:rPr>
        <w:t xml:space="preserve">开设</w:t>
      </w:r>
      <w:r>
        <w:rPr>
          <w:rFonts w:ascii="宋体" w:hAnsi="宋体"/>
          <w:bCs/>
          <w:sz w:val="24"/>
        </w:rPr>
        <w:t xml:space="preserve">资金账户、</w:t>
      </w:r>
      <w:r>
        <w:rPr>
          <w:rFonts w:ascii="宋体" w:hAnsi="宋体"/>
          <w:bCs/>
          <w:sz w:val="24"/>
        </w:rPr>
        <w:t xml:space="preserve">证券</w:t>
      </w:r>
      <w:r>
        <w:rPr>
          <w:rFonts w:ascii="宋体" w:hAnsi="宋体"/>
          <w:bCs/>
          <w:sz w:val="24"/>
        </w:rPr>
        <w:t xml:space="preserve">账户等投资所需账户</w:t>
      </w:r>
      <w:r>
        <w:rPr>
          <w:rFonts w:ascii="宋体" w:hAnsi="宋体"/>
          <w:bCs/>
          <w:sz w:val="24"/>
        </w:rPr>
        <w:t xml:space="preserve">、为</w:t>
      </w:r>
      <w:r>
        <w:rPr>
          <w:rFonts w:ascii="宋体" w:hAnsi="宋体"/>
          <w:bCs/>
          <w:sz w:val="24"/>
        </w:rPr>
        <w:t xml:space="preserve">集合计划</w:t>
      </w:r>
      <w:r>
        <w:rPr>
          <w:rFonts w:ascii="宋体" w:hAnsi="宋体"/>
          <w:bCs/>
          <w:sz w:val="24"/>
        </w:rPr>
        <w:t xml:space="preserve">办理证券</w:t>
      </w:r>
      <w:r>
        <w:rPr>
          <w:rFonts w:ascii="宋体" w:hAnsi="宋体"/>
          <w:bCs/>
          <w:sz w:val="24"/>
        </w:rPr>
        <w:t xml:space="preserve">、期货</w:t>
      </w:r>
      <w:r>
        <w:rPr>
          <w:rFonts w:ascii="宋体" w:hAnsi="宋体"/>
          <w:bCs/>
          <w:sz w:val="24"/>
        </w:rPr>
        <w:t xml:space="preserve">交易资金清算；</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（5）提议召开或召集集合计划份额持有人大会；</w:t>
      </w:r>
      <w:r/>
    </w:p>
    <w:p>
      <w:pPr>
        <w:pStyle w:val="369"/>
        <w:ind w:firstLine="480"/>
        <w:snapToGrid w:val="1"/>
        <w:spacing w:lineRule="auto" w:line="360"/>
        <w:rPr>
          <w:rFonts w:ascii="宋体" w:hAnsi="宋体"/>
          <w:bCs/>
          <w:sz w:val="24"/>
        </w:rPr>
      </w:pPr>
      <w:r>
        <w:rPr>
          <w:rFonts w:ascii="宋体" w:hAnsi="宋体"/>
          <w:bCs/>
          <w:sz w:val="24"/>
        </w:rPr>
        <w:t xml:space="preserve">（6）在管理人更换时，提名新的管理人；</w:t>
      </w:r>
      <w:r/>
    </w:p>
    <w:p>
      <w:pPr>
        <w:pStyle w:val="369"/>
        <w:ind w:firstLine="480"/>
        <w:snapToGrid w:val="1"/>
        <w:spacing w:lineRule="auto" w:line="360"/>
        <w:rPr>
          <w:rFonts w:ascii="宋体" w:hAnsi="宋体"/>
          <w:bCs/>
          <w:sz w:val="24"/>
        </w:rPr>
      </w:pPr>
      <w:r>
        <w:rPr>
          <w:rFonts w:ascii="宋体" w:hAnsi="宋体"/>
          <w:bCs/>
          <w:sz w:val="24"/>
        </w:rPr>
        <w:t xml:space="preserve">（7）法律法规及中国证监会规定的和《集合计划</w:t>
      </w:r>
      <w:r>
        <w:rPr>
          <w:rFonts w:ascii="宋体" w:hAnsi="宋体"/>
          <w:bCs/>
          <w:sz w:val="24"/>
        </w:rPr>
        <w:t xml:space="preserve">合同》约定的其他权利。</w:t>
      </w:r>
      <w:r/>
    </w:p>
    <w:p>
      <w:pPr>
        <w:pStyle w:val="369"/>
        <w:ind w:firstLine="480"/>
        <w:snapToGrid w:val="1"/>
        <w:spacing w:lineRule="auto" w:line="360"/>
        <w:rPr>
          <w:rFonts w:ascii="宋体" w:hAnsi="宋体"/>
          <w:bCs/>
          <w:sz w:val="24"/>
        </w:rPr>
      </w:pPr>
      <w:r>
        <w:rPr>
          <w:rFonts w:ascii="宋体" w:hAnsi="宋体"/>
          <w:bCs/>
          <w:sz w:val="24"/>
        </w:rPr>
        <w:t xml:space="preserve">2、根据</w:t>
      </w:r>
      <w:r>
        <w:rPr>
          <w:rFonts w:ascii="宋体" w:hAnsi="宋体"/>
          <w:bCs/>
          <w:sz w:val="24"/>
        </w:rPr>
        <w:t xml:space="preserve">《基金法》、《运作办法》及其他有关规定，托管人的义务包括但不限于：</w:t>
      </w:r>
      <w:r/>
    </w:p>
    <w:p>
      <w:pPr>
        <w:pStyle w:val="369"/>
        <w:ind w:firstLine="480"/>
        <w:snapToGrid w:val="1"/>
        <w:spacing w:lineRule="auto" w:line="360"/>
        <w:rPr>
          <w:rFonts w:ascii="宋体" w:hAnsi="宋体"/>
          <w:bCs/>
          <w:sz w:val="24"/>
        </w:rPr>
      </w:pPr>
      <w:r>
        <w:rPr>
          <w:rFonts w:ascii="宋体" w:hAnsi="宋体"/>
          <w:bCs/>
          <w:sz w:val="24"/>
        </w:rPr>
        <w:t xml:space="preserve">（1）以诚实信用、勤勉尽责的原则持有并安全保管</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（2）设立专门的托管部门，具有符合要求的营业场所，配备足够的、合格的熟悉托管业务的专职人员，负责</w:t>
      </w:r>
      <w:r>
        <w:rPr>
          <w:rFonts w:ascii="宋体" w:hAnsi="宋体"/>
          <w:bCs/>
          <w:sz w:val="24"/>
        </w:rPr>
        <w:t xml:space="preserve">集合计划</w:t>
      </w:r>
      <w:r>
        <w:rPr>
          <w:rFonts w:ascii="宋体" w:hAnsi="宋体"/>
          <w:bCs/>
          <w:sz w:val="24"/>
        </w:rPr>
        <w:t xml:space="preserve">财产托管事宜；</w:t>
      </w:r>
      <w:r/>
    </w:p>
    <w:p>
      <w:pPr>
        <w:pStyle w:val="369"/>
        <w:ind w:firstLine="480"/>
        <w:snapToGrid w:val="1"/>
        <w:spacing w:lineRule="auto" w:line="360"/>
        <w:rPr>
          <w:rFonts w:ascii="宋体" w:hAnsi="宋体"/>
          <w:bCs/>
          <w:sz w:val="24"/>
        </w:rPr>
      </w:pPr>
      <w:r>
        <w:rPr>
          <w:rFonts w:ascii="宋体" w:hAnsi="宋体"/>
          <w:bCs/>
          <w:sz w:val="24"/>
        </w:rPr>
        <w:t xml:space="preserve">（3）建立健全内部风险控制、监察与稽核、财务管理及人事管理等制度，确保</w:t>
      </w:r>
      <w:r>
        <w:rPr>
          <w:rFonts w:ascii="宋体" w:hAnsi="宋体"/>
          <w:bCs/>
          <w:sz w:val="24"/>
        </w:rPr>
        <w:t xml:space="preserve">集合计划</w:t>
      </w:r>
      <w:r>
        <w:rPr>
          <w:rFonts w:ascii="宋体" w:hAnsi="宋体"/>
          <w:bCs/>
          <w:sz w:val="24"/>
        </w:rPr>
        <w:t xml:space="preserve">财产的安全，保证其托管的</w:t>
      </w:r>
      <w:r>
        <w:rPr>
          <w:rFonts w:ascii="宋体" w:hAnsi="宋体"/>
          <w:bCs/>
          <w:sz w:val="24"/>
        </w:rPr>
        <w:t xml:space="preserve">集合计划</w:t>
      </w:r>
      <w:r>
        <w:rPr>
          <w:rFonts w:ascii="宋体" w:hAnsi="宋体"/>
          <w:bCs/>
          <w:sz w:val="24"/>
        </w:rPr>
        <w:t xml:space="preserve">财产与托管人自有财产以及不同的</w:t>
      </w:r>
      <w:r>
        <w:rPr>
          <w:rFonts w:ascii="宋体" w:hAnsi="宋体"/>
          <w:bCs/>
          <w:sz w:val="24"/>
        </w:rPr>
        <w:t xml:space="preserve">集合计划</w:t>
      </w:r>
      <w:r>
        <w:rPr>
          <w:rFonts w:ascii="宋体" w:hAnsi="宋体"/>
          <w:bCs/>
          <w:sz w:val="24"/>
        </w:rPr>
        <w:t xml:space="preserve">财产相互独立；对所托管的不同的</w:t>
      </w:r>
      <w:r>
        <w:rPr>
          <w:rFonts w:ascii="宋体" w:hAnsi="宋体"/>
          <w:bCs/>
          <w:sz w:val="24"/>
        </w:rPr>
        <w:t xml:space="preserve">集合计划</w:t>
      </w:r>
      <w:r>
        <w:rPr>
          <w:rFonts w:ascii="宋体" w:hAnsi="宋体"/>
          <w:bCs/>
          <w:sz w:val="24"/>
        </w:rPr>
        <w:t xml:space="preserve">分别设置账户，独立核算，分账管理，保证不同</w:t>
      </w:r>
      <w:r>
        <w:rPr>
          <w:rFonts w:ascii="宋体" w:hAnsi="宋体"/>
          <w:bCs/>
          <w:sz w:val="24"/>
        </w:rPr>
        <w:t xml:space="preserve">集</w:t>
      </w:r>
      <w:r>
        <w:rPr>
          <w:rFonts w:ascii="宋体" w:hAnsi="宋体"/>
          <w:bCs/>
          <w:sz w:val="24"/>
        </w:rPr>
        <w:t xml:space="preserve">合计划</w:t>
      </w:r>
      <w:r>
        <w:rPr>
          <w:rFonts w:ascii="宋体" w:hAnsi="宋体"/>
          <w:bCs/>
          <w:sz w:val="24"/>
        </w:rPr>
        <w:t xml:space="preserve">之间在账户设置、资金划拨、账册记录等方面相互</w:t>
      </w:r>
      <w:r>
        <w:rPr>
          <w:rFonts w:ascii="宋体" w:hAnsi="宋体"/>
          <w:bCs/>
          <w:sz w:val="24"/>
        </w:rPr>
        <w:t xml:space="preserve">独立；</w:t>
      </w:r>
      <w:r/>
    </w:p>
    <w:p>
      <w:pPr>
        <w:pStyle w:val="369"/>
        <w:ind w:firstLine="480"/>
        <w:snapToGrid w:val="1"/>
        <w:spacing w:lineRule="auto" w:line="360"/>
        <w:rPr>
          <w:rFonts w:ascii="宋体" w:hAnsi="宋体"/>
          <w:bCs/>
          <w:sz w:val="24"/>
        </w:rPr>
      </w:pPr>
      <w:r>
        <w:rPr>
          <w:rFonts w:ascii="宋体" w:hAnsi="宋体"/>
          <w:bCs/>
          <w:sz w:val="24"/>
        </w:rPr>
        <w:t xml:space="preserve">（4）除依据《基金法》、《集合计划合同》</w:t>
      </w:r>
      <w:r>
        <w:rPr>
          <w:rFonts w:ascii="宋体" w:hAnsi="宋体"/>
          <w:bCs/>
          <w:sz w:val="24"/>
        </w:rPr>
        <w:t xml:space="preserve">、《托管协议》</w:t>
      </w:r>
      <w:r>
        <w:rPr>
          <w:rFonts w:ascii="宋体" w:hAnsi="宋体"/>
          <w:bCs/>
          <w:sz w:val="24"/>
        </w:rPr>
        <w:t xml:space="preserve">及其他有关规定外，不得利用</w:t>
      </w:r>
      <w:r>
        <w:rPr>
          <w:rFonts w:ascii="宋体" w:hAnsi="宋体"/>
          <w:bCs/>
          <w:sz w:val="24"/>
        </w:rPr>
        <w:t xml:space="preserve">集合计划</w:t>
      </w:r>
      <w:r>
        <w:rPr>
          <w:rFonts w:ascii="宋体" w:hAnsi="宋体"/>
          <w:bCs/>
          <w:sz w:val="24"/>
        </w:rPr>
        <w:t xml:space="preserve">财产为自己及任何第三人谋取利益，不得委托第三人托管</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（5）保管由管理人代表</w:t>
      </w:r>
      <w:r>
        <w:rPr>
          <w:rFonts w:ascii="宋体" w:hAnsi="宋体"/>
          <w:bCs/>
          <w:sz w:val="24"/>
        </w:rPr>
        <w:t xml:space="preserve">集合计划</w:t>
      </w:r>
      <w:r>
        <w:rPr>
          <w:rFonts w:ascii="宋体" w:hAnsi="宋体"/>
          <w:bCs/>
          <w:sz w:val="24"/>
        </w:rPr>
        <w:t xml:space="preserve">签订的与</w:t>
      </w:r>
      <w:r>
        <w:rPr>
          <w:rFonts w:ascii="宋体" w:hAnsi="宋体"/>
          <w:bCs/>
          <w:sz w:val="24"/>
        </w:rPr>
        <w:t xml:space="preserve">集合计划</w:t>
      </w:r>
      <w:r>
        <w:rPr>
          <w:rFonts w:ascii="宋体" w:hAnsi="宋体"/>
          <w:bCs/>
          <w:sz w:val="24"/>
        </w:rPr>
        <w:t xml:space="preserve">有关的重大合同及有关凭证；</w:t>
      </w:r>
      <w:r/>
    </w:p>
    <w:p>
      <w:pPr>
        <w:pStyle w:val="369"/>
        <w:ind w:firstLine="480"/>
        <w:snapToGrid w:val="1"/>
        <w:spacing w:lineRule="auto" w:line="360"/>
        <w:rPr>
          <w:rFonts w:ascii="宋体" w:hAnsi="宋体"/>
          <w:bCs/>
          <w:sz w:val="24"/>
        </w:rPr>
      </w:pPr>
      <w:r>
        <w:rPr>
          <w:rFonts w:ascii="宋体" w:hAnsi="宋体"/>
          <w:bCs/>
          <w:sz w:val="24"/>
        </w:rPr>
        <w:t xml:space="preserve">（6）按规定开设</w:t>
      </w:r>
      <w:r>
        <w:rPr>
          <w:rFonts w:ascii="宋体" w:hAnsi="宋体"/>
          <w:bCs/>
          <w:sz w:val="24"/>
        </w:rPr>
        <w:t xml:space="preserve">集合计划</w:t>
      </w:r>
      <w:r>
        <w:rPr>
          <w:rFonts w:ascii="宋体" w:hAnsi="宋体"/>
          <w:bCs/>
          <w:sz w:val="24"/>
        </w:rPr>
        <w:t xml:space="preserve">财产的资金账户和证券账户</w:t>
      </w:r>
      <w:r>
        <w:rPr>
          <w:rFonts w:ascii="宋体" w:hAnsi="宋体"/>
          <w:bCs/>
          <w:sz w:val="24"/>
        </w:rPr>
        <w:t xml:space="preserve">等投资所需账户，</w:t>
      </w:r>
      <w:r>
        <w:rPr>
          <w:rFonts w:ascii="宋体" w:hAnsi="宋体"/>
          <w:bCs/>
          <w:sz w:val="24"/>
        </w:rPr>
        <w:t xml:space="preserve">按照《集合计划合同》</w:t>
      </w:r>
      <w:r>
        <w:rPr>
          <w:rFonts w:ascii="宋体" w:hAnsi="宋体"/>
          <w:bCs/>
          <w:sz w:val="24"/>
        </w:rPr>
        <w:t xml:space="preserve">、《托管协议》</w:t>
      </w:r>
      <w:r>
        <w:rPr>
          <w:rFonts w:ascii="宋体" w:hAnsi="宋体"/>
          <w:bCs/>
          <w:sz w:val="24"/>
        </w:rPr>
        <w:t xml:space="preserve">的约定，根据管理人的投资指令，及时办理清算、交割事宜；</w:t>
      </w:r>
      <w:r/>
    </w:p>
    <w:p>
      <w:pPr>
        <w:pStyle w:val="369"/>
        <w:ind w:firstLine="480"/>
        <w:snapToGrid w:val="1"/>
        <w:spacing w:lineRule="auto" w:line="360"/>
        <w:rPr>
          <w:rFonts w:ascii="宋体" w:hAnsi="宋体"/>
          <w:bCs/>
          <w:sz w:val="24"/>
        </w:rPr>
      </w:pPr>
      <w:r>
        <w:rPr>
          <w:rFonts w:ascii="宋体" w:hAnsi="宋体"/>
          <w:bCs/>
          <w:sz w:val="24"/>
        </w:rPr>
        <w:t xml:space="preserve">（7）保守</w:t>
      </w:r>
      <w:r>
        <w:rPr>
          <w:rFonts w:ascii="宋体" w:hAnsi="宋体"/>
          <w:bCs/>
          <w:sz w:val="24"/>
        </w:rPr>
        <w:t xml:space="preserve">集合计划</w:t>
      </w:r>
      <w:r>
        <w:rPr>
          <w:rFonts w:ascii="宋体" w:hAnsi="宋体"/>
          <w:bCs/>
          <w:sz w:val="24"/>
        </w:rPr>
        <w:t xml:space="preserve">商业秘密，除《基金法》、《集合计划合同》</w:t>
      </w:r>
      <w:r>
        <w:rPr>
          <w:rFonts w:ascii="宋体" w:hAnsi="宋体"/>
          <w:bCs/>
          <w:sz w:val="24"/>
        </w:rPr>
        <w:t xml:space="preserve">、《托管协议》</w:t>
      </w:r>
      <w:r>
        <w:rPr>
          <w:rFonts w:ascii="宋体" w:hAnsi="宋体"/>
          <w:bCs/>
          <w:sz w:val="24"/>
        </w:rPr>
        <w:t xml:space="preserve">及其他有关规定另有规定外，在</w:t>
      </w:r>
      <w:r>
        <w:rPr>
          <w:rFonts w:ascii="宋体" w:hAnsi="宋体"/>
          <w:bCs/>
          <w:sz w:val="24"/>
        </w:rPr>
        <w:t xml:space="preserve">集合计划</w:t>
      </w:r>
      <w:r>
        <w:rPr>
          <w:rFonts w:ascii="宋体" w:hAnsi="宋体"/>
          <w:bCs/>
          <w:sz w:val="24"/>
        </w:rPr>
        <w:t xml:space="preserve">信息公开披露前予以保密，不得向他人泄露</w:t>
      </w:r>
      <w:r>
        <w:rPr>
          <w:rFonts w:ascii="宋体" w:hAnsi="宋体"/>
          <w:bCs/>
          <w:sz w:val="24"/>
        </w:rPr>
        <w:t xml:space="preserve">，因向审计、法律等外部专业顾问提供的情况除外</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（8）复核、审查管理人计算的集合计划资产净值、</w:t>
      </w:r>
      <w:r>
        <w:rPr>
          <w:rFonts w:ascii="宋体" w:hAnsi="宋体"/>
          <w:bCs/>
          <w:sz w:val="24"/>
        </w:rPr>
        <w:t xml:space="preserve">集合计划</w:t>
      </w:r>
      <w:r>
        <w:rPr>
          <w:rFonts w:ascii="宋体" w:hAnsi="宋体"/>
          <w:bCs/>
          <w:sz w:val="24"/>
        </w:rPr>
        <w:t xml:space="preserve">份额</w:t>
      </w:r>
      <w:r>
        <w:rPr>
          <w:rFonts w:ascii="宋体" w:hAnsi="宋体"/>
          <w:sz w:val="24"/>
        </w:rPr>
        <w:t xml:space="preserve">净值、集合计划</w:t>
      </w:r>
      <w:r>
        <w:rPr>
          <w:rFonts w:ascii="宋体" w:hAnsi="宋体"/>
          <w:sz w:val="24"/>
        </w:rPr>
        <w:t xml:space="preserve">份额</w:t>
      </w:r>
      <w:r>
        <w:rPr>
          <w:rFonts w:ascii="宋体" w:hAnsi="宋体"/>
          <w:bCs/>
          <w:sz w:val="24"/>
        </w:rPr>
        <w:t xml:space="preserve">申购、赎回价格；</w:t>
      </w:r>
      <w:r/>
    </w:p>
    <w:p>
      <w:pPr>
        <w:pStyle w:val="369"/>
        <w:ind w:firstLine="480"/>
        <w:snapToGrid w:val="1"/>
        <w:spacing w:lineRule="auto" w:line="360"/>
        <w:rPr>
          <w:rFonts w:ascii="宋体" w:hAnsi="宋体"/>
          <w:bCs/>
          <w:sz w:val="24"/>
        </w:rPr>
      </w:pPr>
      <w:r>
        <w:rPr>
          <w:rFonts w:ascii="宋体" w:hAnsi="宋体"/>
          <w:bCs/>
          <w:sz w:val="24"/>
        </w:rPr>
        <w:t xml:space="preserve">（9）办理与</w:t>
      </w:r>
      <w:r>
        <w:rPr>
          <w:rFonts w:ascii="宋体" w:hAnsi="宋体"/>
          <w:bCs/>
          <w:sz w:val="24"/>
        </w:rPr>
        <w:t xml:space="preserve">集合计划</w:t>
      </w:r>
      <w:r>
        <w:rPr>
          <w:rFonts w:ascii="宋体" w:hAnsi="宋体"/>
          <w:bCs/>
          <w:sz w:val="24"/>
        </w:rPr>
        <w:t xml:space="preserve">托管业务活动有关的信息披露事项；</w:t>
      </w:r>
      <w:r/>
    </w:p>
    <w:p>
      <w:pPr>
        <w:pStyle w:val="369"/>
        <w:ind w:firstLine="480"/>
        <w:snapToGrid w:val="1"/>
        <w:spacing w:lineRule="auto" w:line="360"/>
        <w:rPr>
          <w:rFonts w:ascii="宋体" w:hAnsi="宋体"/>
          <w:bCs/>
          <w:sz w:val="24"/>
        </w:rPr>
      </w:pPr>
      <w:r>
        <w:rPr>
          <w:rFonts w:ascii="宋体" w:hAnsi="宋体"/>
          <w:bCs/>
          <w:sz w:val="24"/>
        </w:rPr>
        <w:t xml:space="preserve">（10）对</w:t>
      </w:r>
      <w:r>
        <w:rPr>
          <w:rFonts w:ascii="宋体" w:hAnsi="宋体"/>
          <w:bCs/>
          <w:sz w:val="24"/>
        </w:rPr>
        <w:t xml:space="preserve">集合计划</w:t>
      </w:r>
      <w:r>
        <w:rPr>
          <w:rFonts w:ascii="宋体" w:hAnsi="宋体"/>
          <w:bCs/>
          <w:sz w:val="24"/>
        </w:rPr>
        <w:t xml:space="preserve">财务会计报告、</w:t>
      </w:r>
      <w:r>
        <w:rPr>
          <w:rFonts w:ascii="宋体" w:hAnsi="宋体"/>
          <w:bCs/>
          <w:sz w:val="24"/>
        </w:rPr>
        <w:t xml:space="preserve">季度</w:t>
      </w:r>
      <w:r>
        <w:rPr>
          <w:rFonts w:ascii="宋体" w:hAnsi="宋体"/>
          <w:sz w:val="24"/>
        </w:rPr>
        <w:t xml:space="preserve">报告、中期报告</w:t>
      </w:r>
      <w:r>
        <w:rPr>
          <w:rFonts w:ascii="宋体" w:hAnsi="宋体"/>
          <w:bCs/>
          <w:sz w:val="24"/>
        </w:rPr>
        <w:t xml:space="preserve">和年度报告出具意见，说明管理人在各重要方面的运作是否严格按照《集合计划合同》</w:t>
      </w:r>
      <w:r>
        <w:rPr>
          <w:rFonts w:ascii="宋体" w:hAnsi="宋体"/>
          <w:bCs/>
          <w:sz w:val="24"/>
        </w:rPr>
        <w:t xml:space="preserve">、《托管协议》</w:t>
      </w:r>
      <w:r>
        <w:rPr>
          <w:rFonts w:ascii="宋体" w:hAnsi="宋体"/>
          <w:bCs/>
          <w:sz w:val="24"/>
        </w:rPr>
        <w:t xml:space="preserve">的规定进行；如果管理人有未执行《集合计划合同》</w:t>
      </w:r>
      <w:r>
        <w:rPr>
          <w:rFonts w:ascii="宋体" w:hAnsi="宋体"/>
          <w:bCs/>
          <w:sz w:val="24"/>
        </w:rPr>
        <w:t xml:space="preserve">、《托管协议》</w:t>
      </w:r>
      <w:r>
        <w:rPr>
          <w:rFonts w:ascii="宋体" w:hAnsi="宋体"/>
          <w:bCs/>
          <w:sz w:val="24"/>
        </w:rPr>
        <w:t xml:space="preserve">规定的行为，还应当说明托管人是否采取了适当</w:t>
      </w:r>
      <w:r>
        <w:rPr>
          <w:rFonts w:ascii="宋体" w:hAnsi="宋体"/>
          <w:bCs/>
          <w:sz w:val="24"/>
        </w:rPr>
        <w:t xml:space="preserve">的措施；</w:t>
      </w:r>
      <w:r/>
    </w:p>
    <w:p>
      <w:pPr>
        <w:pStyle w:val="369"/>
        <w:ind w:firstLine="480"/>
        <w:snapToGrid w:val="1"/>
        <w:spacing w:lineRule="auto" w:line="360"/>
        <w:rPr>
          <w:rFonts w:ascii="宋体" w:hAnsi="宋体"/>
          <w:bCs/>
          <w:sz w:val="24"/>
        </w:rPr>
      </w:pPr>
      <w:r>
        <w:rPr>
          <w:rFonts w:ascii="宋体" w:hAnsi="宋体"/>
          <w:bCs/>
          <w:sz w:val="24"/>
        </w:rPr>
        <w:t xml:space="preserve">（11）保存</w:t>
      </w:r>
      <w:r>
        <w:rPr>
          <w:rFonts w:ascii="宋体" w:hAnsi="宋体"/>
          <w:bCs/>
          <w:sz w:val="24"/>
        </w:rPr>
        <w:t xml:space="preserve">集合计划</w:t>
      </w:r>
      <w:r>
        <w:rPr>
          <w:rFonts w:ascii="宋体" w:hAnsi="宋体"/>
          <w:bCs/>
          <w:sz w:val="24"/>
        </w:rPr>
        <w:t xml:space="preserve">托管业务活动的记录、账册、报表和其他相关资料</w:t>
      </w:r>
      <w:r>
        <w:rPr>
          <w:rFonts w:ascii="宋体" w:hAnsi="宋体"/>
          <w:sz w:val="24"/>
          <w:szCs w:val="24"/>
        </w:rPr>
        <w:t xml:space="preserve">不低于法律法规规定的最低期限</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（12）</w:t>
      </w:r>
      <w:r>
        <w:rPr>
          <w:rFonts w:ascii="宋体" w:hAnsi="宋体"/>
          <w:bCs/>
          <w:sz w:val="24"/>
        </w:rPr>
        <w:t xml:space="preserve">从管理人或其委托的登记机构处接收</w:t>
      </w:r>
      <w:r>
        <w:rPr>
          <w:rFonts w:ascii="宋体" w:hAnsi="宋体"/>
          <w:bCs/>
          <w:sz w:val="24"/>
        </w:rPr>
        <w:t xml:space="preserve">并保存集合计划份额持有人名册；</w:t>
      </w:r>
      <w:r/>
    </w:p>
    <w:p>
      <w:pPr>
        <w:pStyle w:val="369"/>
        <w:ind w:firstLine="480"/>
        <w:snapToGrid w:val="1"/>
        <w:spacing w:lineRule="auto" w:line="360"/>
        <w:rPr>
          <w:rFonts w:ascii="宋体" w:hAnsi="宋体"/>
          <w:bCs/>
          <w:sz w:val="24"/>
        </w:rPr>
      </w:pPr>
      <w:r>
        <w:rPr>
          <w:rFonts w:ascii="宋体" w:hAnsi="宋体"/>
          <w:bCs/>
          <w:sz w:val="24"/>
        </w:rPr>
        <w:t xml:space="preserve">（13）按规定制作相关账册并与管理人核对；</w:t>
      </w:r>
      <w:r/>
    </w:p>
    <w:p>
      <w:pPr>
        <w:pStyle w:val="369"/>
        <w:ind w:firstLine="480"/>
        <w:snapToGrid w:val="1"/>
        <w:spacing w:lineRule="auto" w:line="360"/>
        <w:rPr>
          <w:rFonts w:ascii="宋体" w:hAnsi="宋体"/>
          <w:bCs/>
          <w:sz w:val="24"/>
        </w:rPr>
      </w:pPr>
      <w:r>
        <w:rPr>
          <w:rFonts w:ascii="宋体" w:hAnsi="宋体"/>
          <w:bCs/>
          <w:sz w:val="24"/>
        </w:rPr>
        <w:t xml:space="preserve">（14）依据管理人的指令或有关规定向集合计划份额持有人支付</w:t>
      </w:r>
      <w:r>
        <w:rPr>
          <w:rFonts w:ascii="宋体" w:hAnsi="宋体"/>
          <w:bCs/>
          <w:sz w:val="24"/>
        </w:rPr>
        <w:t xml:space="preserve">集合计划</w:t>
      </w:r>
      <w:r>
        <w:rPr>
          <w:rFonts w:ascii="宋体" w:hAnsi="宋体"/>
          <w:bCs/>
          <w:sz w:val="24"/>
        </w:rPr>
        <w:t xml:space="preserve">收益和赎回款项；</w:t>
      </w:r>
      <w:r/>
    </w:p>
    <w:p>
      <w:pPr>
        <w:pStyle w:val="369"/>
        <w:ind w:firstLine="480"/>
        <w:snapToGrid w:val="1"/>
        <w:spacing w:lineRule="auto" w:line="360"/>
        <w:rPr>
          <w:rFonts w:ascii="宋体" w:hAnsi="宋体"/>
          <w:bCs/>
          <w:sz w:val="24"/>
        </w:rPr>
      </w:pPr>
      <w:r>
        <w:rPr>
          <w:rFonts w:ascii="宋体" w:hAnsi="宋体"/>
          <w:bCs/>
          <w:sz w:val="24"/>
        </w:rPr>
        <w:t xml:space="preserve">（15）依据《基金法》、《集合计划合同》及其他有关规定，召集集合计划份额持有人大会或配合</w:t>
      </w:r>
      <w:r>
        <w:rPr>
          <w:rFonts w:ascii="宋体" w:hAnsi="宋体"/>
          <w:bCs/>
          <w:sz w:val="24"/>
        </w:rPr>
        <w:t xml:space="preserve">管理人、</w:t>
      </w:r>
      <w:r>
        <w:rPr>
          <w:rFonts w:ascii="宋体" w:hAnsi="宋体"/>
          <w:bCs/>
          <w:sz w:val="24"/>
        </w:rPr>
        <w:t xml:space="preserve">集合计划份额持有人依法召集集合计划份额持有人大会；</w:t>
      </w:r>
      <w:r/>
    </w:p>
    <w:p>
      <w:pPr>
        <w:pStyle w:val="369"/>
        <w:ind w:firstLine="480"/>
        <w:snapToGrid w:val="1"/>
        <w:spacing w:lineRule="auto" w:line="360"/>
        <w:rPr>
          <w:rFonts w:ascii="宋体" w:hAnsi="宋体"/>
          <w:bCs/>
          <w:sz w:val="24"/>
        </w:rPr>
      </w:pPr>
      <w:r>
        <w:rPr>
          <w:rFonts w:ascii="宋体" w:hAnsi="宋体"/>
          <w:bCs/>
          <w:sz w:val="24"/>
        </w:rPr>
        <w:t xml:space="preserve">（16）按照法律法规和《集合计划合同》</w:t>
      </w:r>
      <w:r>
        <w:rPr>
          <w:rFonts w:ascii="宋体" w:hAnsi="宋体"/>
          <w:bCs/>
          <w:sz w:val="24"/>
        </w:rPr>
        <w:t xml:space="preserve">、《托管协议》</w:t>
      </w:r>
      <w:r>
        <w:rPr>
          <w:rFonts w:ascii="宋体" w:hAnsi="宋体"/>
          <w:bCs/>
          <w:sz w:val="24"/>
        </w:rPr>
        <w:t xml:space="preserve">的规定</w:t>
      </w:r>
      <w:r>
        <w:rPr>
          <w:rFonts w:ascii="宋体" w:hAnsi="宋体"/>
          <w:bCs/>
          <w:sz w:val="24"/>
        </w:rPr>
        <w:t xml:space="preserve">监督管理人的投资运作；</w:t>
      </w:r>
      <w:r/>
    </w:p>
    <w:p>
      <w:pPr>
        <w:pStyle w:val="369"/>
        <w:ind w:firstLine="480"/>
        <w:snapToGrid w:val="1"/>
        <w:spacing w:lineRule="auto" w:line="360"/>
        <w:rPr>
          <w:rFonts w:ascii="宋体" w:hAnsi="宋体"/>
          <w:bCs/>
          <w:sz w:val="24"/>
        </w:rPr>
      </w:pPr>
      <w:r>
        <w:rPr>
          <w:rFonts w:ascii="宋体" w:hAnsi="宋体"/>
          <w:bCs/>
          <w:sz w:val="24"/>
        </w:rPr>
        <w:t xml:space="preserve">（17）</w:t>
      </w:r>
      <w:r>
        <w:rPr>
          <w:rFonts w:ascii="宋体" w:hAnsi="宋体"/>
          <w:bCs/>
          <w:sz w:val="24"/>
        </w:rPr>
        <w:t xml:space="preserve">参加</w:t>
      </w:r>
      <w:r>
        <w:rPr>
          <w:rFonts w:ascii="宋体" w:hAnsi="宋体"/>
          <w:bCs/>
          <w:sz w:val="24"/>
        </w:rPr>
        <w:t xml:space="preserve">集合计划</w:t>
      </w:r>
      <w:r>
        <w:rPr>
          <w:rFonts w:ascii="宋体" w:hAnsi="宋体"/>
          <w:bCs/>
          <w:sz w:val="24"/>
        </w:rPr>
        <w:t xml:space="preserve">财产清算小组，参与</w:t>
      </w:r>
      <w:r>
        <w:rPr>
          <w:rFonts w:ascii="宋体" w:hAnsi="宋体"/>
          <w:bCs/>
          <w:sz w:val="24"/>
        </w:rPr>
        <w:t xml:space="preserve">集合计划</w:t>
      </w:r>
      <w:r>
        <w:rPr>
          <w:rFonts w:ascii="宋体" w:hAnsi="宋体"/>
          <w:bCs/>
          <w:sz w:val="24"/>
        </w:rPr>
        <w:t xml:space="preserve">财产的保管、清理、估价、变现和分配；</w:t>
      </w:r>
      <w:r/>
    </w:p>
    <w:p>
      <w:pPr>
        <w:pStyle w:val="369"/>
        <w:ind w:firstLine="480"/>
        <w:snapToGrid w:val="1"/>
        <w:spacing w:lineRule="auto" w:line="360"/>
        <w:rPr>
          <w:rFonts w:ascii="宋体" w:hAnsi="宋体"/>
          <w:bCs/>
          <w:sz w:val="24"/>
        </w:rPr>
      </w:pPr>
      <w:r>
        <w:rPr>
          <w:rFonts w:ascii="宋体" w:hAnsi="宋体"/>
          <w:bCs/>
          <w:sz w:val="24"/>
        </w:rPr>
        <w:t xml:space="preserve">（18）面临解散、依法被撤销或者被依法宣告破产时，及时报告中国证监会和银行</w:t>
      </w:r>
      <w:r>
        <w:rPr>
          <w:rFonts w:ascii="宋体" w:hAnsi="宋体"/>
          <w:bCs/>
          <w:sz w:val="24"/>
        </w:rPr>
        <w:t xml:space="preserve">业监督管理</w:t>
      </w:r>
      <w:r>
        <w:rPr>
          <w:rFonts w:ascii="宋体" w:hAnsi="宋体"/>
          <w:bCs/>
          <w:sz w:val="24"/>
        </w:rPr>
        <w:t xml:space="preserve">机构，并通知管理人；</w:t>
      </w:r>
      <w:r/>
    </w:p>
    <w:p>
      <w:pPr>
        <w:pStyle w:val="369"/>
        <w:ind w:firstLine="480"/>
        <w:snapToGrid w:val="1"/>
        <w:spacing w:lineRule="auto" w:line="360"/>
        <w:rPr>
          <w:rFonts w:ascii="宋体" w:hAnsi="宋体"/>
          <w:bCs/>
          <w:sz w:val="24"/>
        </w:rPr>
      </w:pPr>
      <w:r>
        <w:rPr>
          <w:rFonts w:ascii="宋体" w:hAnsi="宋体"/>
          <w:bCs/>
          <w:sz w:val="24"/>
        </w:rPr>
        <w:t xml:space="preserve">（19）因违反《集合计划合同》导致</w:t>
      </w:r>
      <w:r>
        <w:rPr>
          <w:rFonts w:ascii="宋体" w:hAnsi="宋体"/>
          <w:bCs/>
          <w:sz w:val="24"/>
        </w:rPr>
        <w:t xml:space="preserve">集合计划</w:t>
      </w:r>
      <w:r>
        <w:rPr>
          <w:rFonts w:ascii="宋体" w:hAnsi="宋体"/>
          <w:bCs/>
          <w:sz w:val="24"/>
        </w:rPr>
        <w:t xml:space="preserve">财产损失时，应承担赔偿责任，其赔偿责任不因其退任而免除；</w:t>
      </w:r>
      <w:r/>
    </w:p>
    <w:p>
      <w:pPr>
        <w:pStyle w:val="369"/>
        <w:ind w:firstLine="480"/>
        <w:snapToGrid w:val="1"/>
        <w:spacing w:lineRule="auto" w:line="360"/>
        <w:rPr>
          <w:rFonts w:ascii="宋体" w:hAnsi="宋体"/>
          <w:bCs/>
          <w:sz w:val="24"/>
        </w:rPr>
      </w:pPr>
      <w:r>
        <w:rPr>
          <w:rFonts w:ascii="宋体" w:hAnsi="宋体"/>
          <w:bCs/>
          <w:sz w:val="24"/>
        </w:rPr>
        <w:t xml:space="preserve">（20）按规定监督管理人按法律法规和《集合计划合同》规定履行自己的义务，管理人因违反《集合计划合同》造成</w:t>
      </w:r>
      <w:r>
        <w:rPr>
          <w:rFonts w:ascii="宋体" w:hAnsi="宋体"/>
          <w:bCs/>
          <w:sz w:val="24"/>
        </w:rPr>
        <w:t xml:space="preserve">集合计划</w:t>
      </w:r>
      <w:r>
        <w:rPr>
          <w:rFonts w:ascii="宋体" w:hAnsi="宋体"/>
          <w:bCs/>
          <w:sz w:val="24"/>
        </w:rPr>
        <w:t xml:space="preserve">财产损失时，应为集合计划份额持有人利益向管理人追偿</w:t>
      </w:r>
      <w:bookmarkStart w:id="147" w:name="_Hlt88825668"/>
      <w:r/>
      <w:bookmarkEnd w:id="147"/>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（21）执行生效的集合计划份额持</w:t>
      </w:r>
      <w:r>
        <w:rPr>
          <w:rFonts w:ascii="宋体" w:hAnsi="宋体"/>
          <w:bCs/>
          <w:sz w:val="24"/>
        </w:rPr>
        <w:t xml:space="preserve">有人大会的</w:t>
      </w:r>
      <w:r>
        <w:rPr>
          <w:rFonts w:ascii="宋体" w:hAnsi="宋体"/>
          <w:bCs/>
          <w:sz w:val="24"/>
        </w:rPr>
        <w:t xml:space="preserve">决议</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（22）</w:t>
      </w:r>
      <w:bookmarkStart w:id="148" w:name="_Toc523711670"/>
      <w:r>
        <w:rPr>
          <w:rFonts w:ascii="宋体" w:hAnsi="宋体"/>
          <w:bCs/>
          <w:sz w:val="24"/>
        </w:rPr>
        <w:t xml:space="preserve">法律法规及中</w:t>
      </w:r>
      <w:r>
        <w:rPr>
          <w:rFonts w:ascii="宋体" w:hAnsi="宋体"/>
          <w:bCs/>
          <w:sz w:val="24"/>
        </w:rPr>
        <w:t xml:space="preserve">国证监会规定的和《集合计划合同》约定的其他义务。</w:t>
      </w:r>
      <w:r/>
    </w:p>
    <w:p>
      <w:pPr>
        <w:pStyle w:val="369"/>
        <w:ind w:firstLine="480"/>
        <w:snapToGrid w:val="1"/>
        <w:spacing w:lineRule="auto" w:line="360"/>
        <w:rPr>
          <w:rFonts w:ascii="宋体" w:hAnsi="宋体"/>
          <w:bCs/>
          <w:sz w:val="24"/>
        </w:rPr>
      </w:pPr>
      <w:r/>
      <w:bookmarkEnd w:id="148"/>
      <w:r/>
      <w:bookmarkStart w:id="149" w:name="_Toc79392582"/>
      <w:r>
        <w:rPr>
          <w:rFonts w:ascii="宋体" w:hAnsi="宋体"/>
          <w:bCs/>
          <w:sz w:val="24"/>
        </w:rPr>
        <w:t xml:space="preserve">三、集合计划</w:t>
      </w:r>
      <w:bookmarkEnd w:id="149"/>
      <w:r>
        <w:rPr>
          <w:rFonts w:ascii="宋体" w:hAnsi="宋体"/>
          <w:bCs/>
          <w:sz w:val="24"/>
        </w:rPr>
        <w:t xml:space="preserve">份额持有人</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投资者</w:t>
      </w:r>
      <w:r>
        <w:rPr>
          <w:rFonts w:ascii="宋体" w:hAnsi="宋体"/>
          <w:bCs/>
          <w:sz w:val="24"/>
        </w:rPr>
        <w:t xml:space="preserve">持有</w:t>
      </w:r>
      <w:bookmarkStart w:id="150" w:name="_Hlt88899909"/>
      <w:r/>
      <w:bookmarkEnd w:id="150"/>
      <w:r>
        <w:rPr>
          <w:rFonts w:ascii="宋体" w:hAnsi="宋体"/>
          <w:bCs/>
          <w:sz w:val="24"/>
        </w:rPr>
        <w:t xml:space="preserve">本集合计划份额的行为即视为对《集合计划合同》的承认和接受，</w:t>
      </w:r>
      <w:r>
        <w:rPr>
          <w:rFonts w:ascii="宋体" w:hAnsi="宋体"/>
          <w:bCs/>
          <w:sz w:val="24"/>
        </w:rPr>
        <w:t xml:space="preserve">集合计划</w:t>
      </w:r>
      <w:r>
        <w:rPr>
          <w:rFonts w:ascii="宋体" w:hAnsi="宋体"/>
          <w:bCs/>
          <w:sz w:val="24"/>
        </w:rPr>
        <w:t xml:space="preserve">投资者自依据《集合计划合同》取得</w:t>
      </w:r>
      <w:r>
        <w:rPr>
          <w:rFonts w:ascii="宋体" w:hAnsi="宋体"/>
          <w:bCs/>
          <w:sz w:val="24"/>
        </w:rPr>
        <w:t xml:space="preserve">集合计划</w:t>
      </w:r>
      <w:r>
        <w:rPr>
          <w:rFonts w:ascii="宋体" w:hAnsi="宋体"/>
          <w:bCs/>
          <w:sz w:val="24"/>
        </w:rPr>
        <w:t xml:space="preserve">份额，即成为本集合计划份额持有人和《集合计划合同》的当事人，直至其不再持有本集合计划的</w:t>
      </w:r>
      <w:r>
        <w:rPr>
          <w:rFonts w:ascii="宋体" w:hAnsi="宋体"/>
          <w:bCs/>
          <w:sz w:val="24"/>
        </w:rPr>
        <w:t xml:space="preserve">集合计划</w:t>
      </w:r>
      <w:r>
        <w:rPr>
          <w:rFonts w:ascii="宋体" w:hAnsi="宋体"/>
          <w:bCs/>
          <w:sz w:val="24"/>
        </w:rPr>
        <w:t xml:space="preserve">份额。集合计划份额持有人作为《集合计划合同》当事人并不以在《集合计划合同》上书面签章或签字为必要条件。</w:t>
      </w:r>
      <w:r/>
    </w:p>
    <w:p>
      <w:pPr>
        <w:pStyle w:val="369"/>
        <w:ind w:firstLine="480"/>
        <w:snapToGrid w:val="1"/>
        <w:spacing w:lineRule="auto" w:line="360"/>
        <w:rPr>
          <w:rFonts w:ascii="宋体" w:hAnsi="宋体"/>
          <w:bCs/>
          <w:sz w:val="24"/>
        </w:rPr>
      </w:pPr>
      <w:r>
        <w:rPr>
          <w:rFonts w:ascii="宋体" w:hAnsi="宋体"/>
          <w:bCs/>
          <w:sz w:val="24"/>
        </w:rPr>
        <w:t xml:space="preserve">每份</w:t>
      </w:r>
      <w:r>
        <w:rPr>
          <w:rFonts w:ascii="宋体" w:hAnsi="宋体"/>
          <w:bCs/>
          <w:sz w:val="24"/>
        </w:rPr>
        <w:t xml:space="preserve">集合计划</w:t>
      </w:r>
      <w:r>
        <w:rPr>
          <w:rFonts w:ascii="宋体" w:hAnsi="宋体"/>
          <w:bCs/>
          <w:sz w:val="24"/>
        </w:rPr>
        <w:t xml:space="preserve">份额具有同等的合法权益。</w:t>
      </w:r>
      <w:r/>
    </w:p>
    <w:p>
      <w:pPr>
        <w:pStyle w:val="369"/>
        <w:ind w:firstLine="480"/>
        <w:snapToGrid w:val="1"/>
        <w:spacing w:lineRule="auto" w:line="360"/>
        <w:rPr>
          <w:rFonts w:ascii="宋体" w:hAnsi="宋体"/>
          <w:bCs/>
          <w:sz w:val="24"/>
        </w:rPr>
      </w:pPr>
      <w:r>
        <w:rPr>
          <w:rFonts w:ascii="宋体" w:hAnsi="宋体"/>
          <w:bCs/>
          <w:sz w:val="24"/>
        </w:rPr>
        <w:t xml:space="preserve">1、根据《基金法》、《运作办法》及其他有</w:t>
      </w:r>
      <w:r>
        <w:rPr>
          <w:rFonts w:ascii="宋体" w:hAnsi="宋体"/>
          <w:bCs/>
          <w:sz w:val="24"/>
        </w:rPr>
        <w:t xml:space="preserve">关规定，集合计划份额持有人的权利包括但不限于：</w:t>
      </w:r>
      <w:r/>
    </w:p>
    <w:p>
      <w:pPr>
        <w:pStyle w:val="369"/>
        <w:ind w:firstLine="480"/>
        <w:snapToGrid w:val="1"/>
        <w:spacing w:lineRule="auto" w:line="360"/>
        <w:rPr>
          <w:rFonts w:ascii="宋体" w:hAnsi="宋体"/>
          <w:bCs/>
          <w:sz w:val="24"/>
        </w:rPr>
      </w:pPr>
      <w:r>
        <w:rPr>
          <w:rFonts w:ascii="宋体" w:hAnsi="宋体"/>
          <w:bCs/>
          <w:sz w:val="24"/>
        </w:rPr>
        <w:t xml:space="preserve">（1）分享</w:t>
      </w:r>
      <w:r>
        <w:rPr>
          <w:rFonts w:ascii="宋体" w:hAnsi="宋体"/>
          <w:bCs/>
          <w:sz w:val="24"/>
        </w:rPr>
        <w:t xml:space="preserve">集合计划</w:t>
      </w:r>
      <w:r>
        <w:rPr>
          <w:rFonts w:ascii="宋体" w:hAnsi="宋体"/>
          <w:bCs/>
          <w:sz w:val="24"/>
        </w:rPr>
        <w:t xml:space="preserve">财产收益；</w:t>
      </w:r>
      <w:r/>
    </w:p>
    <w:p>
      <w:pPr>
        <w:pStyle w:val="369"/>
        <w:ind w:firstLine="480"/>
        <w:snapToGrid w:val="1"/>
        <w:spacing w:lineRule="auto" w:line="360"/>
        <w:rPr>
          <w:rFonts w:ascii="宋体" w:hAnsi="宋体"/>
          <w:bCs/>
          <w:sz w:val="24"/>
        </w:rPr>
      </w:pPr>
      <w:r>
        <w:rPr>
          <w:rFonts w:ascii="宋体" w:hAnsi="宋体"/>
          <w:bCs/>
          <w:sz w:val="24"/>
        </w:rPr>
        <w:t xml:space="preserve">（2）参与分配清算后的剩余</w:t>
      </w:r>
      <w:r>
        <w:rPr>
          <w:rFonts w:ascii="宋体" w:hAnsi="宋体"/>
          <w:bCs/>
          <w:sz w:val="24"/>
        </w:rPr>
        <w:t xml:space="preserve">集合计划</w:t>
      </w:r>
      <w:r>
        <w:rPr>
          <w:rFonts w:ascii="宋体" w:hAnsi="宋体"/>
          <w:bCs/>
          <w:sz w:val="24"/>
        </w:rPr>
        <w:t xml:space="preserve">财产；</w:t>
      </w:r>
      <w:bookmarkStart w:id="151" w:name="_Hlt88825574"/>
      <w:r/>
      <w:bookmarkEnd w:id="151"/>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（3）依法</w:t>
      </w:r>
      <w:r>
        <w:rPr>
          <w:rFonts w:ascii="宋体" w:hAnsi="宋体"/>
          <w:bCs/>
          <w:sz w:val="24"/>
        </w:rPr>
        <w:t xml:space="preserve">转让或者</w:t>
      </w:r>
      <w:r>
        <w:rPr>
          <w:rFonts w:ascii="宋体" w:hAnsi="宋体"/>
          <w:bCs/>
          <w:sz w:val="24"/>
        </w:rPr>
        <w:t xml:space="preserve">申请赎回其持有的</w:t>
      </w:r>
      <w:r>
        <w:rPr>
          <w:rFonts w:ascii="宋体" w:hAnsi="宋体"/>
          <w:bCs/>
          <w:sz w:val="24"/>
        </w:rPr>
        <w:t xml:space="preserve">集合计划</w:t>
      </w:r>
      <w:r>
        <w:rPr>
          <w:rFonts w:ascii="宋体" w:hAnsi="宋体"/>
          <w:bCs/>
          <w:sz w:val="24"/>
        </w:rPr>
        <w:t xml:space="preserve">份额；</w:t>
      </w:r>
      <w:r/>
    </w:p>
    <w:p>
      <w:pPr>
        <w:pStyle w:val="369"/>
        <w:ind w:firstLine="480"/>
        <w:snapToGrid w:val="1"/>
        <w:spacing w:lineRule="auto" w:line="360"/>
        <w:rPr>
          <w:rFonts w:ascii="宋体" w:hAnsi="宋体"/>
          <w:bCs/>
          <w:sz w:val="24"/>
        </w:rPr>
      </w:pPr>
      <w:r>
        <w:rPr>
          <w:rFonts w:ascii="宋体" w:hAnsi="宋体"/>
          <w:bCs/>
          <w:sz w:val="24"/>
        </w:rPr>
        <w:t xml:space="preserve">（4）按照规定要求召开集合计划份额持有人大会或者召集集合计划份额持有人大会；</w:t>
      </w:r>
      <w:r/>
    </w:p>
    <w:p>
      <w:pPr>
        <w:pStyle w:val="369"/>
        <w:ind w:firstLine="480"/>
        <w:snapToGrid w:val="1"/>
        <w:spacing w:lineRule="auto" w:line="360"/>
        <w:rPr>
          <w:rFonts w:ascii="宋体" w:hAnsi="宋体"/>
          <w:bCs/>
          <w:sz w:val="24"/>
        </w:rPr>
      </w:pPr>
      <w:r>
        <w:rPr>
          <w:rFonts w:ascii="宋体" w:hAnsi="宋体"/>
          <w:bCs/>
          <w:sz w:val="24"/>
        </w:rPr>
        <w:t xml:space="preserve">（5）出席或者委派代表出席集合计划份额持有人大会，对集合计划份额持有人大会审议事项行使表决权；</w:t>
      </w:r>
      <w:r/>
    </w:p>
    <w:p>
      <w:pPr>
        <w:pStyle w:val="369"/>
        <w:ind w:firstLine="480"/>
        <w:snapToGrid w:val="1"/>
        <w:spacing w:lineRule="auto" w:line="360"/>
        <w:rPr>
          <w:rFonts w:ascii="宋体" w:hAnsi="宋体"/>
          <w:bCs/>
          <w:sz w:val="24"/>
        </w:rPr>
      </w:pPr>
      <w:r>
        <w:rPr>
          <w:rFonts w:ascii="宋体" w:hAnsi="宋体"/>
          <w:bCs/>
          <w:sz w:val="24"/>
        </w:rPr>
        <w:t xml:space="preserve">（6）查阅或者复制公开披露的</w:t>
      </w:r>
      <w:r>
        <w:rPr>
          <w:rFonts w:ascii="宋体" w:hAnsi="宋体"/>
          <w:bCs/>
          <w:sz w:val="24"/>
        </w:rPr>
        <w:t xml:space="preserve">集合计划</w:t>
      </w:r>
      <w:r>
        <w:rPr>
          <w:rFonts w:ascii="宋体" w:hAnsi="宋体"/>
          <w:bCs/>
          <w:sz w:val="24"/>
        </w:rPr>
        <w:t xml:space="preserve">信息资料；</w:t>
      </w:r>
      <w:r/>
    </w:p>
    <w:p>
      <w:pPr>
        <w:pStyle w:val="369"/>
        <w:ind w:firstLine="480"/>
        <w:snapToGrid w:val="1"/>
        <w:spacing w:lineRule="auto" w:line="360"/>
        <w:rPr>
          <w:rFonts w:ascii="宋体" w:hAnsi="宋体"/>
          <w:bCs/>
          <w:sz w:val="24"/>
        </w:rPr>
      </w:pPr>
      <w:r>
        <w:rPr>
          <w:rFonts w:ascii="宋体" w:hAnsi="宋体"/>
          <w:bCs/>
          <w:sz w:val="24"/>
        </w:rPr>
        <w:t xml:space="preserve">（7）监督管理人的投资运作；</w:t>
      </w:r>
      <w:r/>
    </w:p>
    <w:p>
      <w:pPr>
        <w:pStyle w:val="369"/>
        <w:ind w:firstLine="480"/>
        <w:snapToGrid w:val="1"/>
        <w:spacing w:lineRule="auto" w:line="360"/>
        <w:rPr>
          <w:rFonts w:ascii="宋体" w:hAnsi="宋体"/>
          <w:bCs/>
          <w:sz w:val="24"/>
        </w:rPr>
      </w:pPr>
      <w:r>
        <w:rPr>
          <w:rFonts w:ascii="宋体" w:hAnsi="宋体"/>
          <w:bCs/>
          <w:sz w:val="24"/>
        </w:rPr>
        <w:t xml:space="preserve">（8）对管理人、托管人、</w:t>
      </w:r>
      <w:r>
        <w:rPr>
          <w:rFonts w:ascii="宋体" w:hAnsi="宋体"/>
          <w:bCs/>
          <w:sz w:val="24"/>
        </w:rPr>
        <w:t xml:space="preserve">集合计划服务</w:t>
      </w:r>
      <w:r>
        <w:rPr>
          <w:rFonts w:ascii="宋体" w:hAnsi="宋体"/>
          <w:bCs/>
          <w:sz w:val="24"/>
        </w:rPr>
        <w:t xml:space="preserve">机构损害其合法权益的行为依法提起诉讼或仲裁；</w:t>
      </w:r>
      <w:r/>
    </w:p>
    <w:p>
      <w:pPr>
        <w:pStyle w:val="369"/>
        <w:ind w:firstLine="480"/>
        <w:snapToGrid w:val="1"/>
        <w:spacing w:lineRule="auto" w:line="360"/>
        <w:rPr>
          <w:rFonts w:ascii="宋体" w:hAnsi="宋体"/>
          <w:bCs/>
          <w:sz w:val="24"/>
        </w:rPr>
      </w:pPr>
      <w:r>
        <w:rPr>
          <w:rFonts w:ascii="宋体" w:hAnsi="宋体"/>
          <w:bCs/>
          <w:sz w:val="24"/>
        </w:rPr>
        <w:t xml:space="preserve">（9）法</w:t>
      </w:r>
      <w:r>
        <w:rPr>
          <w:rFonts w:ascii="宋体" w:hAnsi="宋体"/>
          <w:bCs/>
          <w:sz w:val="24"/>
        </w:rPr>
        <w:t xml:space="preserve">律法规及中国证监会规定的和《集合计划合同》约定的其他权利</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2、根据《基金法》、《运作办法》及其他有关规定，集合计划份额持有人的义务包括但不限于：</w:t>
      </w:r>
      <w:r/>
    </w:p>
    <w:p>
      <w:pPr>
        <w:pStyle w:val="369"/>
        <w:ind w:firstLine="480"/>
        <w:snapToGrid w:val="1"/>
        <w:spacing w:lineRule="auto" w:line="360"/>
        <w:rPr>
          <w:rFonts w:ascii="宋体" w:hAnsi="宋体"/>
          <w:bCs/>
          <w:sz w:val="24"/>
        </w:rPr>
      </w:pPr>
      <w:r>
        <w:rPr>
          <w:rFonts w:ascii="宋体" w:hAnsi="宋体"/>
          <w:bCs/>
          <w:sz w:val="24"/>
        </w:rPr>
        <w:t xml:space="preserve">（1）认真阅读并遵守《集合计划合同》</w:t>
      </w:r>
      <w:r>
        <w:rPr>
          <w:rFonts w:ascii="宋体" w:hAnsi="宋体"/>
          <w:bCs/>
          <w:sz w:val="24"/>
        </w:rPr>
        <w:t xml:space="preserve">、招募说明书等信息披露文件</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（2）了解所投资</w:t>
      </w:r>
      <w:r>
        <w:rPr>
          <w:rFonts w:ascii="宋体" w:hAnsi="宋体"/>
          <w:bCs/>
          <w:sz w:val="24"/>
        </w:rPr>
        <w:t xml:space="preserve">集合计划</w:t>
      </w:r>
      <w:r>
        <w:rPr>
          <w:rFonts w:ascii="宋体" w:hAnsi="宋体"/>
          <w:bCs/>
          <w:sz w:val="24"/>
        </w:rPr>
        <w:t xml:space="preserve">产品，了解自身风险承受能力，自主判断</w:t>
      </w:r>
      <w:r>
        <w:rPr>
          <w:rFonts w:ascii="宋体" w:hAnsi="宋体"/>
          <w:bCs/>
          <w:sz w:val="24"/>
        </w:rPr>
        <w:t xml:space="preserve">集合计划</w:t>
      </w:r>
      <w:r>
        <w:rPr>
          <w:rFonts w:ascii="宋体" w:hAnsi="宋体"/>
          <w:bCs/>
          <w:sz w:val="24"/>
        </w:rPr>
        <w:t xml:space="preserve">的投资价值，自主做出投资决策，自行承担投资风险；</w:t>
      </w:r>
      <w:r/>
    </w:p>
    <w:p>
      <w:pPr>
        <w:pStyle w:val="369"/>
        <w:ind w:firstLine="480"/>
        <w:snapToGrid w:val="1"/>
        <w:spacing w:lineRule="auto" w:line="360"/>
        <w:rPr>
          <w:rFonts w:ascii="宋体" w:hAnsi="宋体"/>
          <w:bCs/>
          <w:sz w:val="24"/>
        </w:rPr>
      </w:pPr>
      <w:r>
        <w:rPr>
          <w:rFonts w:ascii="宋体" w:hAnsi="宋体"/>
          <w:bCs/>
          <w:sz w:val="24"/>
        </w:rPr>
        <w:t xml:space="preserve">（3）关注</w:t>
      </w:r>
      <w:r>
        <w:rPr>
          <w:rFonts w:ascii="宋体" w:hAnsi="宋体"/>
          <w:bCs/>
          <w:sz w:val="24"/>
        </w:rPr>
        <w:t xml:space="preserve">集合计划</w:t>
      </w:r>
      <w:r>
        <w:rPr>
          <w:rFonts w:ascii="宋体" w:hAnsi="宋体"/>
          <w:bCs/>
          <w:sz w:val="24"/>
        </w:rPr>
        <w:t xml:space="preserve">信息披露，及时行使权利和履行义务；</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交纳集合计划</w:t>
      </w:r>
      <w:r>
        <w:rPr>
          <w:rFonts w:ascii="宋体" w:hAnsi="宋体"/>
          <w:bCs/>
          <w:sz w:val="24"/>
        </w:rPr>
        <w:t xml:space="preserve">申购款项及法律法规和《集合计划合同》所规定的费用；</w:t>
      </w:r>
      <w:r/>
    </w:p>
    <w:p>
      <w:pPr>
        <w:pStyle w:val="369"/>
        <w:ind w:firstLine="480"/>
        <w:snapToGrid w:val="1"/>
        <w:spacing w:lineRule="auto" w:line="360"/>
        <w:rPr>
          <w:rFonts w:ascii="宋体" w:hAnsi="宋体"/>
          <w:bCs/>
          <w:sz w:val="24"/>
        </w:rPr>
      </w:pPr>
      <w:r>
        <w:rPr>
          <w:rFonts w:ascii="宋体" w:hAnsi="宋体"/>
          <w:bCs/>
          <w:sz w:val="24"/>
        </w:rPr>
        <w:t xml:space="preserve">（5）在其持有的</w:t>
      </w:r>
      <w:r>
        <w:rPr>
          <w:rFonts w:ascii="宋体" w:hAnsi="宋体"/>
          <w:bCs/>
          <w:sz w:val="24"/>
        </w:rPr>
        <w:t xml:space="preserve">集合计划</w:t>
      </w:r>
      <w:r>
        <w:rPr>
          <w:rFonts w:ascii="宋体" w:hAnsi="宋体"/>
          <w:bCs/>
          <w:sz w:val="24"/>
        </w:rPr>
        <w:t xml:space="preserve">份额范围内，承担</w:t>
      </w:r>
      <w:r>
        <w:rPr>
          <w:rFonts w:ascii="宋体" w:hAnsi="宋体"/>
          <w:bCs/>
          <w:sz w:val="24"/>
        </w:rPr>
        <w:t xml:space="preserve">集合计划</w:t>
      </w:r>
      <w:r>
        <w:rPr>
          <w:rFonts w:ascii="宋体" w:hAnsi="宋体"/>
          <w:bCs/>
          <w:sz w:val="24"/>
        </w:rPr>
        <w:t xml:space="preserve">亏损或者</w:t>
      </w:r>
      <w:r>
        <w:rPr>
          <w:rFonts w:ascii="宋体" w:hAnsi="宋体"/>
          <w:bCs/>
          <w:sz w:val="24"/>
        </w:rPr>
        <w:t xml:space="preserve">《集合计划合同》终止的有限责任；</w:t>
      </w:r>
      <w:r/>
    </w:p>
    <w:p>
      <w:pPr>
        <w:pStyle w:val="369"/>
        <w:ind w:firstLine="480"/>
        <w:snapToGrid w:val="1"/>
        <w:spacing w:lineRule="auto" w:line="360"/>
        <w:rPr>
          <w:rFonts w:ascii="宋体" w:hAnsi="宋体"/>
          <w:bCs/>
          <w:sz w:val="24"/>
        </w:rPr>
      </w:pPr>
      <w:r>
        <w:rPr>
          <w:rFonts w:ascii="宋体" w:hAnsi="宋体"/>
          <w:bCs/>
          <w:sz w:val="24"/>
        </w:rPr>
        <w:t xml:space="preserve">（6）不从事任何有损</w:t>
      </w:r>
      <w:r>
        <w:rPr>
          <w:rFonts w:ascii="宋体" w:hAnsi="宋体"/>
          <w:bCs/>
          <w:sz w:val="24"/>
        </w:rPr>
        <w:t xml:space="preserve">集合计划</w:t>
      </w:r>
      <w:r>
        <w:rPr>
          <w:rFonts w:ascii="宋体" w:hAnsi="宋体"/>
          <w:bCs/>
          <w:sz w:val="24"/>
        </w:rPr>
        <w:t xml:space="preserve">及其他《集合计划合同》当事人合法权益的活动；</w:t>
      </w:r>
      <w:r/>
    </w:p>
    <w:p>
      <w:pPr>
        <w:pStyle w:val="369"/>
        <w:ind w:firstLine="480"/>
        <w:snapToGrid w:val="1"/>
        <w:spacing w:lineRule="auto" w:line="360"/>
        <w:rPr>
          <w:rFonts w:ascii="宋体" w:hAnsi="宋体"/>
          <w:bCs/>
          <w:sz w:val="24"/>
        </w:rPr>
      </w:pPr>
      <w:r>
        <w:rPr>
          <w:rFonts w:ascii="宋体" w:hAnsi="宋体"/>
          <w:bCs/>
          <w:sz w:val="24"/>
        </w:rPr>
        <w:t xml:space="preserve">（7）执行生效的集合计划份额持有人大会的</w:t>
      </w:r>
      <w:r>
        <w:rPr>
          <w:rFonts w:ascii="宋体" w:hAnsi="宋体"/>
          <w:bCs/>
          <w:sz w:val="24"/>
        </w:rPr>
        <w:t xml:space="preserve">决议</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（8）返还在</w:t>
      </w:r>
      <w:r>
        <w:rPr>
          <w:rFonts w:ascii="宋体" w:hAnsi="宋体"/>
          <w:bCs/>
          <w:sz w:val="24"/>
        </w:rPr>
        <w:t xml:space="preserve">集合计划</w:t>
      </w:r>
      <w:r>
        <w:rPr>
          <w:rFonts w:ascii="宋体" w:hAnsi="宋体"/>
          <w:bCs/>
          <w:sz w:val="24"/>
        </w:rPr>
        <w:t xml:space="preserve">交易过程中因任何原因获得的不当得利；</w:t>
      </w:r>
      <w:r/>
    </w:p>
    <w:p>
      <w:pPr>
        <w:pStyle w:val="369"/>
        <w:ind w:firstLine="480"/>
        <w:snapToGrid w:val="1"/>
        <w:spacing w:lineRule="auto" w:line="360"/>
        <w:rPr>
          <w:rFonts w:ascii="宋体" w:hAnsi="宋体"/>
          <w:bCs/>
          <w:sz w:val="24"/>
        </w:rPr>
      </w:pPr>
      <w:r>
        <w:rPr>
          <w:rFonts w:ascii="宋体" w:hAnsi="宋体"/>
          <w:bCs/>
          <w:sz w:val="24"/>
        </w:rPr>
        <w:t xml:space="preserve">（9）</w:t>
      </w:r>
      <w:r>
        <w:rPr>
          <w:rFonts w:ascii="宋体" w:hAnsi="宋体"/>
          <w:bCs/>
          <w:sz w:val="24"/>
        </w:rPr>
        <w:t xml:space="preserve">法律法规及中国证监会规定的和《集合计划合同》约定的其他义务。</w:t>
      </w:r>
      <w:r/>
    </w:p>
    <w:p>
      <w:pPr>
        <w:pStyle w:val="370"/>
        <w:jc w:val="center"/>
        <w:snapToGrid w:val="1"/>
        <w:spacing w:after="0" w:before="0"/>
        <w:rPr>
          <w:rFonts w:hAnsi="宋体"/>
          <w:color w:val="000000"/>
          <w:sz w:val="30"/>
        </w:rPr>
      </w:pPr>
      <w:r>
        <w:rPr>
          <w:rFonts w:hAnsi="宋体"/>
          <w:b w:val="false"/>
          <w:bCs/>
          <w:color w:val="000000"/>
        </w:rPr>
        <w:br w:type="page"/>
      </w:r>
      <w:bookmarkStart w:id="152" w:name="_Toc123112236"/>
      <w:r/>
      <w:bookmarkStart w:id="153" w:name="_Toc10650"/>
      <w:r/>
      <w:bookmarkStart w:id="154" w:name="_Toc123051454"/>
      <w:r/>
      <w:bookmarkStart w:id="155" w:name="_Toc139991738"/>
      <w:r/>
      <w:bookmarkStart w:id="156" w:name="_Toc9706"/>
      <w:r/>
      <w:bookmarkStart w:id="157" w:name="_Toc79392583"/>
      <w:r/>
      <w:bookmarkStart w:id="158" w:name="_Toc141703888"/>
      <w:r/>
      <w:bookmarkStart w:id="159" w:name="_Toc3771"/>
      <w:r/>
      <w:bookmarkStart w:id="160" w:name="_Toc123102455"/>
      <w:r/>
      <w:bookmarkStart w:id="161" w:name="_Toc7058"/>
      <w:r/>
      <w:bookmarkStart w:id="162" w:name="_Toc6447"/>
      <w:r/>
      <w:bookmarkStart w:id="163" w:name="_Toc11030"/>
      <w:r/>
      <w:bookmarkStart w:id="164" w:name="_Toc4559"/>
      <w:r/>
      <w:bookmarkStart w:id="165" w:name="_Toc3321"/>
      <w:r/>
      <w:bookmarkStart w:id="166" w:name="_Toc98560354"/>
      <w:r/>
      <w:bookmarkStart w:id="167" w:name="_Toc18567"/>
      <w:r/>
      <w:bookmarkStart w:id="168" w:name="_Toc25783"/>
      <w:r/>
      <w:bookmarkStart w:id="169" w:name="_Toc58146339"/>
      <w:r>
        <w:rPr>
          <w:rFonts w:hAnsi="宋体"/>
          <w:color w:val="000000"/>
          <w:sz w:val="30"/>
        </w:rPr>
        <w:t xml:space="preserve">第</w:t>
      </w:r>
      <w:r>
        <w:rPr>
          <w:rFonts w:hAnsi="宋体"/>
          <w:color w:val="000000"/>
          <w:sz w:val="30"/>
        </w:rPr>
        <w:t xml:space="preserve">八</w:t>
      </w:r>
      <w:r>
        <w:rPr>
          <w:rFonts w:hAnsi="宋体"/>
          <w:color w:val="000000"/>
          <w:sz w:val="30"/>
        </w:rPr>
        <w:t xml:space="preserve">部分  集合计划份额持有人大会</w:t>
      </w:r>
      <w:bookmarkEnd w:id="152"/>
      <w:r/>
      <w:bookmarkEnd w:id="153"/>
      <w:r/>
      <w:bookmarkEnd w:id="154"/>
      <w:r/>
      <w:bookmarkEnd w:id="155"/>
      <w:r/>
      <w:bookmarkEnd w:id="156"/>
      <w:r/>
      <w:bookmarkEnd w:id="157"/>
      <w:r/>
      <w:bookmarkEnd w:id="158"/>
      <w:r/>
      <w:bookmarkEnd w:id="159"/>
      <w:r/>
      <w:bookmarkEnd w:id="160"/>
      <w:r/>
      <w:bookmarkEnd w:id="161"/>
      <w:r/>
      <w:bookmarkEnd w:id="162"/>
      <w:r/>
      <w:bookmarkEnd w:id="163"/>
      <w:r/>
      <w:bookmarkEnd w:id="164"/>
      <w:r/>
      <w:bookmarkEnd w:id="165"/>
      <w:r/>
      <w:bookmarkEnd w:id="166"/>
      <w:r/>
      <w:bookmarkEnd w:id="167"/>
      <w:r/>
      <w:bookmarkEnd w:id="168"/>
      <w:r/>
      <w:bookmarkEnd w:id="169"/>
      <w:r>
        <w:rPr>
          <w:rFonts w:hAnsi="宋体"/>
          <w:color w:val="000000"/>
          <w:sz w:val="30"/>
        </w:rPr>
      </w:r>
      <w:r/>
    </w:p>
    <w:p>
      <w:pPr>
        <w:pStyle w:val="369"/>
        <w:ind w:left="1076" w:hanging="658"/>
        <w:snapToGrid w:val="1"/>
        <w:spacing w:lineRule="auto" w:line="360"/>
        <w:tabs>
          <w:tab w:val="left" w:pos="1080" w:leader="none"/>
        </w:tabs>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集合计划份额持有人大会由集合计划份额持有人组成，集合计划份额持有人的合法授权代表有权代表集合计划份额持有人出席会议并表决。集合计划份额持有人持有的每一</w:t>
      </w:r>
      <w:r>
        <w:rPr>
          <w:rFonts w:ascii="宋体" w:hAnsi="宋体"/>
          <w:bCs/>
          <w:sz w:val="24"/>
        </w:rPr>
        <w:t xml:space="preserve">集合计划</w:t>
      </w:r>
      <w:r>
        <w:rPr>
          <w:rFonts w:ascii="宋体" w:hAnsi="宋体"/>
          <w:bCs/>
          <w:sz w:val="24"/>
        </w:rPr>
        <w:t xml:space="preserve">份额拥有平等的投票权。</w:t>
      </w:r>
      <w:r/>
    </w:p>
    <w:p>
      <w:pPr>
        <w:pStyle w:val="369"/>
        <w:ind w:firstLine="480"/>
        <w:snapToGrid w:val="1"/>
        <w:spacing w:lineRule="auto" w:line="360"/>
        <w:rPr>
          <w:rFonts w:ascii="宋体" w:hAnsi="宋体"/>
          <w:bCs/>
          <w:sz w:val="24"/>
        </w:rPr>
      </w:pPr>
      <w:r>
        <w:rPr>
          <w:rFonts w:ascii="宋体" w:hAnsi="宋体"/>
          <w:bCs/>
          <w:sz w:val="24"/>
        </w:rPr>
        <w:t xml:space="preserve">本</w:t>
      </w:r>
      <w:r>
        <w:rPr>
          <w:rFonts w:ascii="宋体" w:hAnsi="宋体"/>
          <w:bCs/>
          <w:sz w:val="24"/>
        </w:rPr>
        <w:t xml:space="preserve">集合计</w:t>
      </w:r>
      <w:r>
        <w:rPr>
          <w:rFonts w:ascii="宋体" w:hAnsi="宋体"/>
          <w:bCs/>
          <w:sz w:val="24"/>
        </w:rPr>
        <w:t xml:space="preserve">划</w:t>
      </w:r>
      <w:r>
        <w:rPr>
          <w:rFonts w:ascii="宋体" w:hAnsi="宋体"/>
          <w:bCs/>
          <w:sz w:val="24"/>
        </w:rPr>
        <w:t xml:space="preserve">份额持有人大会不设日常机构。在本集合计划存续期内，根</w:t>
      </w:r>
      <w:r>
        <w:rPr>
          <w:rFonts w:ascii="宋体" w:hAnsi="宋体"/>
          <w:bCs/>
          <w:sz w:val="24"/>
        </w:rPr>
        <w:t xml:space="preserve">据本集合计划的运作需要，集合计划份额持有人大会可以设立日常机构，日常机构的设立与运作应当根据相关法律法规和中国证监会的规定进行。</w:t>
      </w:r>
      <w:r/>
    </w:p>
    <w:p>
      <w:pPr>
        <w:pStyle w:val="369"/>
        <w:ind w:firstLine="480"/>
        <w:snapToGrid w:val="1"/>
        <w:spacing w:lineRule="auto" w:line="360"/>
        <w:rPr>
          <w:rFonts w:ascii="宋体" w:hAnsi="宋体"/>
          <w:bCs/>
          <w:sz w:val="24"/>
        </w:rPr>
      </w:pPr>
      <w:r/>
      <w:bookmarkStart w:id="170" w:name="_Toc79392584"/>
      <w:r/>
      <w:bookmarkStart w:id="171" w:name="_Toc15641220"/>
      <w:r/>
      <w:bookmarkStart w:id="172" w:name="_Toc57530243"/>
      <w:r>
        <w:rPr>
          <w:rFonts w:ascii="宋体" w:hAnsi="宋体"/>
          <w:bCs/>
          <w:sz w:val="24"/>
        </w:rPr>
        <w:t xml:space="preserve">一、召开事由</w:t>
      </w:r>
      <w:bookmarkEnd w:id="170"/>
      <w:r/>
      <w:bookmarkEnd w:id="171"/>
      <w:r/>
      <w:bookmarkEnd w:id="172"/>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1、当出现或需要决定下列事由之一的，应当召开集合计划份额持有人大会</w:t>
      </w:r>
      <w:r>
        <w:rPr>
          <w:rFonts w:ascii="宋体" w:hAnsi="宋体"/>
          <w:bCs/>
          <w:sz w:val="24"/>
        </w:rPr>
        <w:t xml:space="preserve">，但法律法规另有规定或本合同另有约定的除外</w:t>
      </w:r>
      <w:r>
        <w:rPr>
          <w:rFonts w:ascii="宋体" w:hAnsi="宋体"/>
          <w:bCs/>
          <w:sz w:val="24"/>
        </w:rPr>
        <w:t xml:space="preserve">：</w:t>
      </w:r>
      <w:r/>
    </w:p>
    <w:p>
      <w:pPr>
        <w:pStyle w:val="369"/>
        <w:ind w:firstLine="480"/>
        <w:snapToGrid w:val="1"/>
        <w:spacing w:lineRule="atLeast" w:line="440"/>
        <w:rPr>
          <w:rFonts w:ascii="宋体" w:hAnsi="宋体"/>
          <w:bCs/>
          <w:sz w:val="24"/>
        </w:rPr>
      </w:pPr>
      <w:r>
        <w:rPr>
          <w:rFonts w:ascii="宋体" w:hAnsi="宋体"/>
          <w:bCs/>
          <w:sz w:val="24"/>
        </w:rPr>
        <w:t xml:space="preserve">（1）终止《集合计划合同》；</w:t>
      </w:r>
      <w:r/>
    </w:p>
    <w:p>
      <w:pPr>
        <w:pStyle w:val="369"/>
        <w:ind w:firstLine="480"/>
        <w:snapToGrid w:val="1"/>
        <w:spacing w:lineRule="atLeast" w:line="440"/>
        <w:rPr>
          <w:rFonts w:ascii="宋体" w:hAnsi="宋体"/>
          <w:bCs/>
          <w:sz w:val="24"/>
        </w:rPr>
      </w:pPr>
      <w:r>
        <w:rPr>
          <w:rFonts w:ascii="宋体" w:hAnsi="宋体"/>
          <w:bCs/>
          <w:sz w:val="24"/>
        </w:rPr>
        <w:t xml:space="preserve">（2）更换管理人；</w:t>
      </w:r>
      <w:r/>
    </w:p>
    <w:p>
      <w:pPr>
        <w:pStyle w:val="369"/>
        <w:ind w:firstLine="480"/>
        <w:snapToGrid w:val="1"/>
        <w:spacing w:lineRule="atLeast" w:line="440"/>
        <w:rPr>
          <w:rFonts w:ascii="宋体" w:hAnsi="宋体"/>
          <w:bCs/>
          <w:sz w:val="24"/>
        </w:rPr>
      </w:pPr>
      <w:r>
        <w:rPr>
          <w:rFonts w:ascii="宋体" w:hAnsi="宋体"/>
          <w:bCs/>
          <w:sz w:val="24"/>
        </w:rPr>
        <w:t xml:space="preserve">（3）更换托管人；</w:t>
      </w:r>
      <w:r/>
    </w:p>
    <w:p>
      <w:pPr>
        <w:pStyle w:val="369"/>
        <w:ind w:firstLine="480"/>
        <w:snapToGrid w:val="1"/>
        <w:spacing w:lineRule="atLeast" w:line="440"/>
        <w:rPr>
          <w:rFonts w:ascii="宋体" w:hAnsi="宋体"/>
          <w:bCs/>
          <w:sz w:val="24"/>
        </w:rPr>
      </w:pPr>
      <w:r>
        <w:rPr>
          <w:rFonts w:ascii="宋体" w:hAnsi="宋体"/>
          <w:bCs/>
          <w:sz w:val="24"/>
        </w:rPr>
        <w:t xml:space="preserve">（4）转换</w:t>
      </w:r>
      <w:r>
        <w:rPr>
          <w:rFonts w:ascii="宋体" w:hAnsi="宋体"/>
          <w:bCs/>
          <w:sz w:val="24"/>
        </w:rPr>
        <w:t xml:space="preserve">集合计划</w:t>
      </w:r>
      <w:r>
        <w:rPr>
          <w:rFonts w:ascii="宋体" w:hAnsi="宋体"/>
          <w:bCs/>
          <w:sz w:val="24"/>
        </w:rPr>
        <w:t xml:space="preserve">运作方式；</w:t>
      </w:r>
      <w:r/>
    </w:p>
    <w:p>
      <w:pPr>
        <w:pStyle w:val="369"/>
        <w:ind w:firstLine="480"/>
        <w:snapToGrid w:val="1"/>
        <w:spacing w:lineRule="atLeast" w:line="440"/>
        <w:rPr>
          <w:rFonts w:ascii="宋体" w:hAnsi="宋体"/>
          <w:bCs/>
          <w:sz w:val="24"/>
        </w:rPr>
      </w:pPr>
      <w:r>
        <w:rPr>
          <w:rFonts w:ascii="宋体" w:hAnsi="宋体"/>
          <w:bCs/>
          <w:sz w:val="24"/>
        </w:rPr>
        <w:t xml:space="preserve">（5）</w:t>
      </w:r>
      <w:r>
        <w:rPr>
          <w:rFonts w:ascii="宋体" w:hAnsi="宋体"/>
          <w:bCs/>
          <w:sz w:val="24"/>
        </w:rPr>
        <w:t xml:space="preserve">调整</w:t>
      </w:r>
      <w:r>
        <w:rPr>
          <w:rFonts w:ascii="宋体" w:hAnsi="宋体"/>
          <w:bCs/>
          <w:sz w:val="24"/>
        </w:rPr>
        <w:t xml:space="preserve">管理人、托管人的报酬标准；</w:t>
      </w:r>
      <w:r/>
    </w:p>
    <w:p>
      <w:pPr>
        <w:pStyle w:val="369"/>
        <w:ind w:firstLine="480"/>
        <w:snapToGrid w:val="1"/>
        <w:spacing w:lineRule="atLeast" w:line="440"/>
        <w:rPr>
          <w:rFonts w:ascii="宋体" w:hAnsi="宋体"/>
          <w:bCs/>
          <w:sz w:val="24"/>
        </w:rPr>
      </w:pPr>
      <w:r>
        <w:rPr>
          <w:rFonts w:ascii="宋体" w:hAnsi="宋体"/>
          <w:bCs/>
          <w:sz w:val="24"/>
        </w:rPr>
        <w:t xml:space="preserve">（6）变更</w:t>
      </w:r>
      <w:r>
        <w:rPr>
          <w:rFonts w:ascii="宋体" w:hAnsi="宋体"/>
          <w:bCs/>
          <w:sz w:val="24"/>
        </w:rPr>
        <w:t xml:space="preserve">集合计划</w:t>
      </w:r>
      <w:r>
        <w:rPr>
          <w:rFonts w:ascii="宋体" w:hAnsi="宋体"/>
          <w:bCs/>
          <w:sz w:val="24"/>
        </w:rPr>
        <w:t xml:space="preserve">类别；</w:t>
      </w:r>
      <w:r/>
    </w:p>
    <w:p>
      <w:pPr>
        <w:pStyle w:val="369"/>
        <w:ind w:firstLine="480"/>
        <w:snapToGrid w:val="1"/>
        <w:spacing w:lineRule="atLeast" w:line="440"/>
        <w:rPr>
          <w:rFonts w:ascii="宋体" w:hAnsi="宋体"/>
          <w:bCs/>
          <w:sz w:val="24"/>
        </w:rPr>
      </w:pPr>
      <w:r>
        <w:rPr>
          <w:rFonts w:ascii="宋体" w:hAnsi="宋体"/>
          <w:bCs/>
          <w:sz w:val="24"/>
        </w:rPr>
        <w:t xml:space="preserve">（7）本集合计划与其他</w:t>
      </w:r>
      <w:r>
        <w:rPr>
          <w:rFonts w:ascii="宋体" w:hAnsi="宋体"/>
          <w:bCs/>
          <w:sz w:val="24"/>
        </w:rPr>
        <w:t xml:space="preserve">集合资产管理计划</w:t>
      </w:r>
      <w:r>
        <w:rPr>
          <w:rFonts w:ascii="宋体" w:hAnsi="宋体"/>
          <w:bCs/>
          <w:sz w:val="24"/>
        </w:rPr>
        <w:t xml:space="preserve">的合并；</w:t>
      </w:r>
      <w:r/>
    </w:p>
    <w:p>
      <w:pPr>
        <w:pStyle w:val="369"/>
        <w:ind w:firstLine="480"/>
        <w:snapToGrid w:val="1"/>
        <w:spacing w:lineRule="atLeast" w:line="440"/>
        <w:rPr>
          <w:rFonts w:ascii="宋体" w:hAnsi="宋体"/>
          <w:bCs/>
          <w:sz w:val="24"/>
        </w:rPr>
      </w:pPr>
      <w:r>
        <w:rPr>
          <w:rFonts w:ascii="宋体" w:hAnsi="宋体"/>
          <w:bCs/>
          <w:sz w:val="24"/>
        </w:rPr>
        <w:t xml:space="preserve">（8）变更</w:t>
      </w:r>
      <w:r>
        <w:rPr>
          <w:rFonts w:ascii="宋体" w:hAnsi="宋体"/>
          <w:bCs/>
          <w:sz w:val="24"/>
        </w:rPr>
        <w:t xml:space="preserve">集合计划</w:t>
      </w:r>
      <w:r>
        <w:rPr>
          <w:rFonts w:ascii="宋体" w:hAnsi="宋体"/>
          <w:bCs/>
          <w:sz w:val="24"/>
        </w:rPr>
        <w:t xml:space="preserve">投资目标、范围或策略；</w:t>
      </w:r>
      <w:r/>
    </w:p>
    <w:p>
      <w:pPr>
        <w:pStyle w:val="369"/>
        <w:ind w:firstLine="480"/>
        <w:snapToGrid w:val="1"/>
        <w:spacing w:lineRule="atLeast" w:line="440"/>
        <w:rPr>
          <w:rFonts w:ascii="宋体" w:hAnsi="宋体"/>
          <w:bCs/>
          <w:sz w:val="24"/>
        </w:rPr>
      </w:pPr>
      <w:r>
        <w:rPr>
          <w:rFonts w:ascii="宋体" w:hAnsi="宋体"/>
          <w:bCs/>
          <w:sz w:val="24"/>
        </w:rPr>
        <w:t xml:space="preserve">（9）变更集合计划份额持有人大会程序；</w:t>
      </w:r>
      <w:r/>
    </w:p>
    <w:p>
      <w:pPr>
        <w:pStyle w:val="369"/>
        <w:ind w:firstLine="480"/>
        <w:snapToGrid w:val="1"/>
        <w:spacing w:lineRule="atLeast" w:line="440"/>
        <w:rPr>
          <w:rFonts w:ascii="宋体" w:hAnsi="宋体"/>
          <w:bCs/>
          <w:sz w:val="24"/>
        </w:rPr>
      </w:pPr>
      <w:r>
        <w:rPr>
          <w:rFonts w:ascii="宋体" w:hAnsi="宋体"/>
          <w:bCs/>
          <w:sz w:val="24"/>
        </w:rPr>
        <w:t xml:space="preserve">（10）管理人或托管人要求召开集合计划份额持有人大会；</w:t>
      </w:r>
      <w:r/>
    </w:p>
    <w:p>
      <w:pPr>
        <w:pStyle w:val="369"/>
        <w:ind w:firstLine="480"/>
        <w:snapToGrid w:val="1"/>
        <w:spacing w:lineRule="atLeast" w:line="440"/>
        <w:rPr>
          <w:rFonts w:ascii="宋体" w:hAnsi="宋体"/>
          <w:bCs/>
          <w:sz w:val="24"/>
        </w:rPr>
      </w:pPr>
      <w:r>
        <w:rPr>
          <w:rFonts w:ascii="宋体" w:hAnsi="宋体"/>
          <w:bCs/>
          <w:sz w:val="24"/>
        </w:rPr>
        <w:t xml:space="preserve">（11）单独或合计持有本集合计划总份额10%以上（含10%）</w:t>
      </w:r>
      <w:r>
        <w:rPr>
          <w:rFonts w:ascii="宋体" w:hAnsi="宋体"/>
          <w:bCs/>
          <w:sz w:val="24"/>
        </w:rPr>
        <w:t xml:space="preserve">集合计划</w:t>
      </w:r>
      <w:r>
        <w:rPr>
          <w:rFonts w:ascii="宋体" w:hAnsi="宋体"/>
          <w:bCs/>
          <w:sz w:val="24"/>
        </w:rPr>
        <w:t xml:space="preserve">份额的集合计划份额持有人（以管理人</w:t>
      </w:r>
      <w:r>
        <w:rPr>
          <w:rFonts w:ascii="宋体" w:hAnsi="宋体"/>
          <w:bCs/>
          <w:sz w:val="24"/>
        </w:rPr>
        <w:t xml:space="preserve">或托管人</w:t>
      </w:r>
      <w:r>
        <w:rPr>
          <w:rFonts w:ascii="宋体" w:hAnsi="宋体"/>
          <w:bCs/>
          <w:sz w:val="24"/>
        </w:rPr>
        <w:t xml:space="preserve">收到提议当日的</w:t>
      </w:r>
      <w:r>
        <w:rPr>
          <w:rFonts w:ascii="宋体" w:hAnsi="宋体"/>
          <w:bCs/>
          <w:sz w:val="24"/>
        </w:rPr>
        <w:t xml:space="preserve">集合计划</w:t>
      </w:r>
      <w:r>
        <w:rPr>
          <w:rFonts w:ascii="宋体" w:hAnsi="宋体"/>
          <w:bCs/>
          <w:sz w:val="24"/>
        </w:rPr>
        <w:t xml:space="preserve">份额计算，下同）就同一事项书面要求召开集合计划份额持有人大会；</w:t>
      </w:r>
      <w:r/>
    </w:p>
    <w:p>
      <w:pPr>
        <w:pStyle w:val="369"/>
        <w:ind w:firstLine="480"/>
        <w:snapToGrid w:val="1"/>
        <w:spacing w:lineRule="atLeast" w:line="440"/>
        <w:rPr>
          <w:rFonts w:ascii="宋体" w:hAnsi="宋体"/>
          <w:bCs/>
          <w:sz w:val="24"/>
        </w:rPr>
      </w:pPr>
      <w:r>
        <w:rPr>
          <w:rFonts w:ascii="宋体" w:hAnsi="宋体"/>
          <w:bCs/>
          <w:sz w:val="24"/>
        </w:rPr>
        <w:t xml:space="preserve">（12）对本合同当事人权利和义务产生重大影响的其他事项；</w:t>
      </w:r>
      <w:r/>
    </w:p>
    <w:p>
      <w:pPr>
        <w:pStyle w:val="369"/>
        <w:ind w:firstLine="480"/>
        <w:snapToGrid w:val="1"/>
        <w:spacing w:lineRule="atLeast" w:line="440"/>
        <w:rPr>
          <w:rFonts w:ascii="宋体" w:hAnsi="宋体"/>
          <w:bCs/>
          <w:sz w:val="24"/>
        </w:rPr>
      </w:pPr>
      <w:r>
        <w:rPr>
          <w:rFonts w:ascii="宋体" w:hAnsi="宋体"/>
          <w:bCs/>
          <w:sz w:val="24"/>
        </w:rPr>
        <w:t xml:space="preserve">（13）法律法规、《集合计划合同》或中国证监会规定的其他应当召开集合计划份额持有人大会的事项。</w:t>
      </w:r>
      <w:r/>
    </w:p>
    <w:p>
      <w:pPr>
        <w:pStyle w:val="369"/>
        <w:ind w:firstLine="480"/>
        <w:snapToGrid w:val="1"/>
        <w:spacing w:lineRule="auto" w:line="360"/>
        <w:rPr>
          <w:rFonts w:ascii="宋体" w:hAnsi="宋体"/>
          <w:bCs/>
          <w:sz w:val="24"/>
        </w:rPr>
      </w:pPr>
      <w:r>
        <w:rPr>
          <w:rFonts w:ascii="宋体" w:hAnsi="宋体"/>
          <w:bCs/>
          <w:sz w:val="24"/>
        </w:rPr>
        <w:t xml:space="preserve">2、在法律法规</w:t>
      </w:r>
      <w:r>
        <w:rPr>
          <w:rFonts w:ascii="宋体" w:hAnsi="宋体"/>
          <w:bCs/>
          <w:sz w:val="24"/>
        </w:rPr>
        <w:t xml:space="preserve">规定</w:t>
      </w:r>
      <w:r>
        <w:rPr>
          <w:rFonts w:ascii="宋体" w:hAnsi="宋体"/>
          <w:bCs/>
          <w:sz w:val="24"/>
        </w:rPr>
        <w:t xml:space="preserve">和《集合计划合同》</w:t>
      </w:r>
      <w:r>
        <w:rPr>
          <w:rFonts w:ascii="宋体" w:hAnsi="宋体"/>
          <w:bCs/>
          <w:sz w:val="24"/>
        </w:rPr>
        <w:t xml:space="preserve">约</w:t>
      </w:r>
      <w:r>
        <w:rPr>
          <w:rFonts w:ascii="宋体" w:hAnsi="宋体"/>
          <w:bCs/>
          <w:sz w:val="24"/>
        </w:rPr>
        <w:t xml:space="preserve">定的范围</w:t>
      </w:r>
      <w:r>
        <w:rPr>
          <w:rFonts w:ascii="宋体" w:hAnsi="宋体"/>
          <w:bCs/>
          <w:sz w:val="24"/>
        </w:rPr>
        <w:t xml:space="preserve">内且对集合计划份额持有人利益无实质性不利影响的前提下</w:t>
      </w:r>
      <w:r>
        <w:rPr>
          <w:rFonts w:ascii="宋体" w:hAnsi="宋体"/>
          <w:bCs/>
          <w:sz w:val="24"/>
        </w:rPr>
        <w:t xml:space="preserve">，</w:t>
      </w:r>
      <w:r>
        <w:rPr>
          <w:rFonts w:ascii="宋体" w:hAnsi="宋体"/>
          <w:bCs/>
          <w:sz w:val="24"/>
        </w:rPr>
        <w:t xml:space="preserve">以下情况可由管理人和托管人协商后修改，不需召开集合计划份额持有人大会：</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w:t>
      </w:r>
      <w:r>
        <w:rPr>
          <w:rFonts w:ascii="宋体" w:hAnsi="宋体"/>
          <w:bCs/>
          <w:sz w:val="24"/>
        </w:rPr>
        <w:t xml:space="preserve">）法律法规要求增加或调整的</w:t>
      </w:r>
      <w:r>
        <w:rPr>
          <w:rFonts w:ascii="宋体" w:hAnsi="宋体"/>
          <w:bCs/>
          <w:sz w:val="24"/>
        </w:rPr>
        <w:t xml:space="preserve">集合计划</w:t>
      </w:r>
      <w:r>
        <w:rPr>
          <w:rFonts w:ascii="宋体" w:hAnsi="宋体"/>
          <w:bCs/>
          <w:sz w:val="24"/>
        </w:rPr>
        <w:t xml:space="preserve">费用的收取；</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w:t>
      </w:r>
      <w:r>
        <w:rPr>
          <w:rFonts w:ascii="宋体" w:hAnsi="宋体"/>
          <w:bCs/>
          <w:sz w:val="24"/>
        </w:rPr>
        <w:t xml:space="preserve">）</w:t>
      </w:r>
      <w:r>
        <w:rPr>
          <w:rFonts w:ascii="宋体" w:hAnsi="宋体"/>
          <w:bCs/>
          <w:sz w:val="24"/>
        </w:rPr>
        <w:t xml:space="preserve">增加或调整本集合计划的集合计划份额类别、对集合计划份额分类办法及规则进行调整、</w:t>
      </w:r>
      <w:r>
        <w:rPr>
          <w:rFonts w:ascii="宋体" w:hAnsi="宋体"/>
          <w:bCs/>
          <w:sz w:val="24"/>
        </w:rPr>
        <w:t xml:space="preserve">调整本集合计划的申购费率、调低赎回费率</w:t>
      </w:r>
      <w:r>
        <w:rPr>
          <w:rFonts w:ascii="宋体" w:hAnsi="宋体"/>
          <w:bCs/>
          <w:sz w:val="24"/>
        </w:rPr>
        <w:t xml:space="preserve">，或变更收费方式</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3</w:t>
      </w:r>
      <w:r>
        <w:rPr>
          <w:rFonts w:ascii="宋体" w:hAnsi="宋体"/>
          <w:bCs/>
          <w:sz w:val="24"/>
        </w:rPr>
        <w:t xml:space="preserve">）因相应的法律法规发生变动而应当对《集合计划合同》进行修改；</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4</w:t>
      </w:r>
      <w:r>
        <w:rPr>
          <w:rFonts w:ascii="宋体" w:hAnsi="宋体"/>
          <w:bCs/>
          <w:sz w:val="24"/>
        </w:rPr>
        <w:t xml:space="preserve">）对《集合计划合同》的修改对集合计划份额持有人利益无实质性不利影响或修改不涉及《集合计划合</w:t>
      </w:r>
      <w:r>
        <w:rPr>
          <w:rFonts w:ascii="宋体" w:hAnsi="宋体"/>
          <w:bCs/>
          <w:sz w:val="24"/>
        </w:rPr>
        <w:t xml:space="preserve">同》当事人权利义务关系发生变化；</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5</w:t>
      </w:r>
      <w:r>
        <w:rPr>
          <w:rFonts w:ascii="宋体" w:hAnsi="宋体"/>
          <w:bCs/>
          <w:sz w:val="24"/>
        </w:rPr>
        <w:t xml:space="preserve">）管理人将本合同项下权利义务转让给其以独资或控股方式成立具有独立法人资格的从事资产管理业务的公司；</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6</w:t>
      </w:r>
      <w:r>
        <w:rPr>
          <w:rFonts w:ascii="宋体" w:hAnsi="宋体"/>
          <w:bCs/>
          <w:sz w:val="24"/>
        </w:rPr>
        <w:t xml:space="preserve">）</w:t>
      </w:r>
      <w:r>
        <w:rPr>
          <w:rFonts w:ascii="宋体" w:hAnsi="宋体"/>
          <w:bCs/>
          <w:sz w:val="24"/>
        </w:rPr>
        <w:t xml:space="preserve">按照法律法规和《集合计划合同》规定不需召开集合计划份额持有人大会的其他情形。</w:t>
      </w:r>
      <w:r/>
    </w:p>
    <w:p>
      <w:pPr>
        <w:pStyle w:val="369"/>
        <w:ind w:firstLine="480"/>
        <w:snapToGrid w:val="1"/>
        <w:spacing w:lineRule="auto" w:line="360"/>
        <w:rPr>
          <w:rFonts w:ascii="宋体" w:hAnsi="宋体"/>
          <w:bCs/>
          <w:sz w:val="24"/>
        </w:rPr>
      </w:pPr>
      <w:r/>
      <w:bookmarkStart w:id="173" w:name="_Toc79392585"/>
      <w:r/>
      <w:bookmarkStart w:id="174" w:name="_Toc57530244"/>
      <w:r/>
      <w:bookmarkStart w:id="175" w:name="_Toc15641221"/>
      <w:r>
        <w:rPr>
          <w:rFonts w:ascii="宋体" w:hAnsi="宋体"/>
          <w:bCs/>
          <w:sz w:val="24"/>
        </w:rPr>
        <w:t xml:space="preserve">二、会议召集人及召集方式</w:t>
      </w:r>
      <w:bookmarkEnd w:id="173"/>
      <w:r/>
      <w:bookmarkEnd w:id="174"/>
      <w:r/>
      <w:bookmarkEnd w:id="175"/>
      <w:r>
        <w:rPr>
          <w:rFonts w:ascii="宋体" w:hAnsi="宋体"/>
          <w:bCs/>
          <w:sz w:val="24"/>
        </w:rPr>
      </w:r>
      <w:r/>
    </w:p>
    <w:p>
      <w:pPr>
        <w:pStyle w:val="369"/>
        <w:ind w:firstLine="480"/>
        <w:snapToGrid w:val="1"/>
        <w:spacing w:lineRule="auto" w:line="360"/>
        <w:rPr>
          <w:rFonts w:ascii="宋体" w:hAnsi="宋体"/>
          <w:bCs/>
          <w:sz w:val="24"/>
        </w:rPr>
      </w:pPr>
      <w:r/>
      <w:bookmarkStart w:id="176" w:name="_Toc15641222"/>
      <w:r/>
      <w:bookmarkStart w:id="177" w:name="_Toc57530245"/>
      <w:r>
        <w:rPr>
          <w:rFonts w:ascii="宋体" w:hAnsi="宋体"/>
          <w:bCs/>
          <w:sz w:val="24"/>
        </w:rPr>
        <w:t xml:space="preserve">1、除法律法规规定或《集合计划合同》另有约定外，集合计划份额持有人大会由管理人召集。</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2、管理人未按规定召集或不能召</w:t>
      </w:r>
      <w:r>
        <w:rPr>
          <w:rFonts w:ascii="宋体" w:hAnsi="宋体"/>
          <w:bCs/>
          <w:sz w:val="24"/>
        </w:rPr>
        <w:t xml:space="preserve">开</w:t>
      </w:r>
      <w:r>
        <w:rPr>
          <w:rFonts w:ascii="宋体" w:hAnsi="宋体"/>
          <w:bCs/>
          <w:sz w:val="24"/>
        </w:rPr>
        <w:t xml:space="preserve">时，由托管人召集。</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3、托管人认为有必要召开集合计划份额持有人大会的，应当向管理人提出书面提议。管理人应当自收到书面提议之日起 </w:t>
      </w:r>
      <w:r>
        <w:rPr>
          <w:rFonts w:ascii="宋体" w:hAnsi="宋体"/>
          <w:bCs/>
          <w:sz w:val="24"/>
        </w:rPr>
        <w:t xml:space="preserve">10</w:t>
      </w:r>
      <w:r>
        <w:rPr>
          <w:rFonts w:ascii="宋体" w:hAnsi="宋体"/>
          <w:bCs/>
          <w:sz w:val="24"/>
        </w:rPr>
        <w:t xml:space="preserve">日内决定是否召</w:t>
      </w:r>
      <w:r>
        <w:rPr>
          <w:rFonts w:ascii="宋体" w:hAnsi="宋体"/>
          <w:bCs/>
          <w:sz w:val="24"/>
        </w:rPr>
        <w:t xml:space="preserve">集，并书面告知托管人。管理人决定召集的，应当自出具书面决</w:t>
      </w:r>
      <w:r>
        <w:rPr>
          <w:rFonts w:ascii="宋体" w:hAnsi="宋体"/>
          <w:bCs/>
          <w:sz w:val="24"/>
        </w:rPr>
        <w:t xml:space="preserve">定之日起</w:t>
      </w:r>
      <w:r>
        <w:rPr>
          <w:rFonts w:ascii="宋体" w:hAnsi="宋体"/>
          <w:bCs/>
          <w:sz w:val="24"/>
        </w:rPr>
        <w:t xml:space="preserve">60</w:t>
      </w:r>
      <w:r>
        <w:rPr>
          <w:rFonts w:ascii="宋体" w:hAnsi="宋体"/>
          <w:bCs/>
          <w:sz w:val="24"/>
        </w:rPr>
        <w:t xml:space="preserve">日内召开；管理人决定不召集，托管人仍认为有必要召开的，应当由托管人自行召集，并自出具书面决定之日起60日内召开并告知管理人，管理人应当配合。</w:t>
      </w:r>
      <w:r/>
    </w:p>
    <w:p>
      <w:pPr>
        <w:pStyle w:val="369"/>
        <w:ind w:firstLine="480"/>
        <w:snapToGrid w:val="1"/>
        <w:spacing w:lineRule="auto" w:line="360"/>
        <w:rPr>
          <w:rFonts w:ascii="宋体" w:hAnsi="宋体"/>
          <w:bCs/>
          <w:sz w:val="24"/>
        </w:rPr>
      </w:pPr>
      <w:r>
        <w:rPr>
          <w:rFonts w:ascii="宋体" w:hAnsi="宋体"/>
          <w:bCs/>
          <w:sz w:val="24"/>
        </w:rPr>
        <w:t xml:space="preserve">4、代表</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）的集合计划份额持有人就同一事项书面要求召开集合计划份额持有人大会，应当向管理人提出书面提议。管理人应当自收到书面提议之日起</w:t>
      </w:r>
      <w:r>
        <w:rPr>
          <w:rFonts w:ascii="宋体" w:hAnsi="宋体"/>
          <w:bCs/>
          <w:sz w:val="24"/>
        </w:rPr>
        <w:t xml:space="preserve">10</w:t>
      </w:r>
      <w:r>
        <w:rPr>
          <w:rFonts w:ascii="宋体" w:hAnsi="宋体"/>
          <w:bCs/>
          <w:sz w:val="24"/>
        </w:rPr>
        <w:t xml:space="preserve">日内决定是否召集，并书面告知提出提议的集合计划份额持有人代表和托管人。管理人决定召集的，应当自出具书面决定之日起</w:t>
      </w:r>
      <w:r/>
    </w:p>
    <w:p>
      <w:pPr>
        <w:pStyle w:val="369"/>
        <w:snapToGrid w:val="1"/>
        <w:spacing w:lineRule="auto" w:line="360"/>
        <w:rPr>
          <w:rFonts w:ascii="宋体" w:hAnsi="宋体"/>
          <w:bCs/>
          <w:sz w:val="24"/>
        </w:rPr>
      </w:pPr>
      <w:r>
        <w:rPr>
          <w:rFonts w:ascii="宋体" w:hAnsi="宋体"/>
          <w:bCs/>
          <w:sz w:val="24"/>
        </w:rPr>
        <w:t xml:space="preserve">60</w:t>
      </w:r>
      <w:r>
        <w:rPr>
          <w:rFonts w:ascii="宋体" w:hAnsi="宋体"/>
          <w:bCs/>
          <w:sz w:val="24"/>
        </w:rPr>
        <w:t xml:space="preserve">日内召开；管理人</w:t>
      </w:r>
      <w:r>
        <w:rPr>
          <w:rFonts w:ascii="宋体" w:hAnsi="宋体"/>
          <w:bCs/>
          <w:sz w:val="24"/>
        </w:rPr>
        <w:t xml:space="preserve">决定不召集，代表</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）的集合计划份额持有人仍认为有必要召开的，应当向托管人提出书面提议。托管人应当自收到书面提议之日起</w:t>
      </w:r>
      <w:r>
        <w:rPr>
          <w:rFonts w:ascii="宋体" w:hAnsi="宋体"/>
          <w:bCs/>
          <w:sz w:val="24"/>
        </w:rPr>
        <w:t xml:space="preserve">10</w:t>
      </w:r>
      <w:r>
        <w:rPr>
          <w:rFonts w:ascii="宋体" w:hAnsi="宋体"/>
          <w:bCs/>
          <w:sz w:val="24"/>
        </w:rPr>
        <w:t xml:space="preserve">日内决定是否召集，并书面告知提出提议的集合计划份额持有人代表和管理人；托管人决定召集的，应当自出具书面决定之日起60日内召开。并告知管理人，管理人应当配合。</w:t>
      </w:r>
      <w:r/>
    </w:p>
    <w:p>
      <w:pPr>
        <w:pStyle w:val="369"/>
        <w:ind w:firstLine="480"/>
        <w:snapToGrid w:val="1"/>
        <w:spacing w:lineRule="auto" w:line="360"/>
        <w:rPr>
          <w:rFonts w:ascii="宋体" w:hAnsi="宋体"/>
          <w:bCs/>
          <w:sz w:val="24"/>
        </w:rPr>
      </w:pPr>
      <w:r>
        <w:rPr>
          <w:rFonts w:ascii="宋体" w:hAnsi="宋体"/>
          <w:bCs/>
          <w:sz w:val="24"/>
        </w:rPr>
        <w:t xml:space="preserve">5、代表</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）的集合计划份额持有人就同一事项要求召开集合计划份额持有人大会，而管理人、托管人都不召集的，单独或合计代表</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）的集合计划份额持有人有权</w:t>
      </w:r>
      <w:r>
        <w:rPr>
          <w:rFonts w:ascii="宋体" w:hAnsi="宋体"/>
          <w:bCs/>
          <w:sz w:val="24"/>
        </w:rPr>
        <w:t xml:space="preserve">自行召集，并至少提前30日报中国证监会备案。集合计划份额</w:t>
      </w:r>
      <w:r>
        <w:rPr>
          <w:rFonts w:ascii="宋体" w:hAnsi="宋体"/>
          <w:bCs/>
          <w:sz w:val="24"/>
        </w:rPr>
        <w:t xml:space="preserve">持有人依法自行召集集合计划份额持有人大会的，管理人、托管人应当配合，不得阻碍、干扰。</w:t>
      </w:r>
      <w:r/>
    </w:p>
    <w:p>
      <w:pPr>
        <w:pStyle w:val="369"/>
        <w:ind w:firstLine="480"/>
        <w:snapToGrid w:val="1"/>
        <w:spacing w:lineRule="auto" w:line="360"/>
        <w:rPr>
          <w:rFonts w:ascii="宋体" w:hAnsi="宋体"/>
          <w:bCs/>
          <w:sz w:val="24"/>
        </w:rPr>
      </w:pPr>
      <w:r>
        <w:rPr>
          <w:rFonts w:ascii="宋体" w:hAnsi="宋体"/>
          <w:bCs/>
          <w:sz w:val="24"/>
        </w:rPr>
        <w:t xml:space="preserve">6、集合计划份额持有人会议的召集人负责选择确定开会时间、地点、方式和权益登记日。</w:t>
      </w:r>
      <w:r>
        <w:rPr>
          <w:rFonts w:ascii="宋体" w:hAnsi="宋体"/>
          <w:bCs/>
          <w:sz w:val="24"/>
        </w:rPr>
      </w:r>
      <w:r/>
    </w:p>
    <w:p>
      <w:pPr>
        <w:pStyle w:val="369"/>
        <w:ind w:firstLine="480"/>
        <w:snapToGrid w:val="1"/>
        <w:spacing w:lineRule="auto" w:line="360"/>
        <w:rPr>
          <w:rFonts w:ascii="宋体" w:hAnsi="宋体"/>
          <w:bCs/>
          <w:sz w:val="24"/>
        </w:rPr>
      </w:pPr>
      <w:r/>
      <w:bookmarkStart w:id="178" w:name="_Toc79392586"/>
      <w:r>
        <w:rPr>
          <w:rFonts w:ascii="宋体" w:hAnsi="宋体"/>
          <w:bCs/>
          <w:sz w:val="24"/>
        </w:rPr>
        <w:t xml:space="preserve">三、召开集合计划份额持有人大会的通知时间、通知内容、通知方式</w:t>
      </w:r>
      <w:bookmarkEnd w:id="176"/>
      <w:r/>
      <w:bookmarkEnd w:id="177"/>
      <w:r/>
      <w:bookmarkEnd w:id="178"/>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1、召开集合计划份额持有人大会，召集人应于会议召开前</w:t>
      </w:r>
      <w:r>
        <w:rPr>
          <w:rFonts w:ascii="宋体" w:hAnsi="宋体"/>
          <w:bCs/>
          <w:sz w:val="24"/>
        </w:rPr>
        <w:t xml:space="preserve">30</w:t>
      </w:r>
      <w:r>
        <w:rPr>
          <w:rFonts w:ascii="宋体" w:hAnsi="宋体"/>
          <w:bCs/>
          <w:sz w:val="24"/>
        </w:rPr>
        <w:t xml:space="preserve">日，在规定媒介公告。集合计划份额持有人大会通知应至少载明以下内容：</w:t>
      </w:r>
      <w:r/>
    </w:p>
    <w:p>
      <w:pPr>
        <w:pStyle w:val="369"/>
        <w:ind w:firstLine="480"/>
        <w:snapToGrid w:val="1"/>
        <w:spacing w:lineRule="auto" w:line="360"/>
        <w:rPr>
          <w:rFonts w:ascii="宋体" w:hAnsi="宋体"/>
          <w:bCs/>
          <w:sz w:val="24"/>
        </w:rPr>
      </w:pPr>
      <w:r>
        <w:rPr>
          <w:rFonts w:ascii="宋体" w:hAnsi="宋体"/>
          <w:bCs/>
          <w:sz w:val="24"/>
        </w:rPr>
        <w:t xml:space="preserve">（1）会议召开的时间、地点和会议形式；</w:t>
      </w:r>
      <w:r/>
    </w:p>
    <w:p>
      <w:pPr>
        <w:pStyle w:val="369"/>
        <w:ind w:firstLine="480"/>
        <w:snapToGrid w:val="1"/>
        <w:spacing w:lineRule="auto" w:line="360"/>
        <w:rPr>
          <w:rFonts w:ascii="宋体" w:hAnsi="宋体"/>
          <w:bCs/>
          <w:sz w:val="24"/>
        </w:rPr>
      </w:pPr>
      <w:r>
        <w:rPr>
          <w:rFonts w:ascii="宋体" w:hAnsi="宋体"/>
          <w:bCs/>
          <w:sz w:val="24"/>
        </w:rPr>
        <w:t xml:space="preserve">（2）会议拟审议的事项、议事程序和表决方式；</w:t>
      </w:r>
      <w:r/>
    </w:p>
    <w:p>
      <w:pPr>
        <w:pStyle w:val="369"/>
        <w:ind w:firstLine="480"/>
        <w:snapToGrid w:val="1"/>
        <w:spacing w:lineRule="auto" w:line="360"/>
        <w:rPr>
          <w:rFonts w:ascii="宋体" w:hAnsi="宋体"/>
          <w:bCs/>
          <w:sz w:val="24"/>
        </w:rPr>
      </w:pPr>
      <w:r>
        <w:rPr>
          <w:rFonts w:ascii="宋体" w:hAnsi="宋体"/>
          <w:bCs/>
          <w:sz w:val="24"/>
        </w:rPr>
        <w:t xml:space="preserve">（3）有权出席集</w:t>
      </w:r>
      <w:r>
        <w:rPr>
          <w:rFonts w:ascii="宋体" w:hAnsi="宋体"/>
          <w:bCs/>
          <w:sz w:val="24"/>
        </w:rPr>
        <w:t xml:space="preserve">合计划份额持有人大会的集合计划份额持有人的权益登记日；</w:t>
      </w:r>
      <w:r/>
    </w:p>
    <w:p>
      <w:pPr>
        <w:pStyle w:val="369"/>
        <w:ind w:firstLine="480"/>
        <w:snapToGrid w:val="1"/>
        <w:spacing w:lineRule="auto" w:line="360"/>
        <w:rPr>
          <w:rFonts w:ascii="宋体" w:hAnsi="宋体"/>
          <w:bCs/>
          <w:sz w:val="24"/>
        </w:rPr>
      </w:pPr>
      <w:r>
        <w:rPr>
          <w:rFonts w:ascii="宋体" w:hAnsi="宋体"/>
          <w:bCs/>
          <w:sz w:val="24"/>
        </w:rPr>
        <w:t xml:space="preserve">（4）授权委托证明的内容要求（包括但不限于代理人身份，代理权限和代理有效期限等）、送达时间和地点</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（5）会务常设联系人姓名及联系电话；</w:t>
      </w:r>
      <w:r/>
    </w:p>
    <w:p>
      <w:pPr>
        <w:pStyle w:val="369"/>
        <w:ind w:firstLine="480"/>
        <w:snapToGrid w:val="1"/>
        <w:spacing w:lineRule="auto" w:line="360"/>
        <w:rPr>
          <w:rFonts w:ascii="宋体" w:hAnsi="宋体"/>
          <w:bCs/>
          <w:sz w:val="24"/>
        </w:rPr>
      </w:pPr>
      <w:r>
        <w:rPr>
          <w:rFonts w:ascii="宋体" w:hAnsi="宋体"/>
          <w:bCs/>
          <w:sz w:val="24"/>
        </w:rPr>
        <w:t xml:space="preserve">（6）出席会议者必须准备的文件和必须履行的手续；</w:t>
      </w:r>
      <w:r/>
    </w:p>
    <w:p>
      <w:pPr>
        <w:pStyle w:val="369"/>
        <w:ind w:firstLine="480"/>
        <w:snapToGrid w:val="1"/>
        <w:spacing w:lineRule="auto" w:line="360"/>
        <w:rPr>
          <w:rFonts w:ascii="宋体" w:hAnsi="宋体"/>
          <w:bCs/>
          <w:sz w:val="24"/>
        </w:rPr>
      </w:pPr>
      <w:r>
        <w:rPr>
          <w:rFonts w:ascii="宋体" w:hAnsi="宋体"/>
          <w:bCs/>
          <w:sz w:val="24"/>
        </w:rPr>
        <w:t xml:space="preserve">（7）召集人需要通知的其他事项。</w:t>
      </w:r>
      <w:r/>
    </w:p>
    <w:p>
      <w:pPr>
        <w:pStyle w:val="369"/>
        <w:ind w:firstLine="480"/>
        <w:snapToGrid w:val="1"/>
        <w:spacing w:lineRule="auto" w:line="360"/>
        <w:rPr>
          <w:rFonts w:ascii="宋体" w:hAnsi="宋体"/>
          <w:bCs/>
          <w:sz w:val="24"/>
        </w:rPr>
      </w:pPr>
      <w:r>
        <w:rPr>
          <w:rFonts w:ascii="宋体" w:hAnsi="宋体"/>
          <w:bCs/>
          <w:sz w:val="24"/>
        </w:rPr>
        <w:t xml:space="preserve">2、采取通讯开会方式并进行表决的情况下，由会议召集人决定在会议通知中说明本次集合计划份额持有人大会所采取的具体通讯方式、委托的公证机关及其联系方式和联系人、书面表决意见寄交的截止时间和收取方式。</w:t>
      </w:r>
      <w:r/>
    </w:p>
    <w:p>
      <w:pPr>
        <w:pStyle w:val="369"/>
        <w:ind w:firstLine="480"/>
        <w:snapToGrid w:val="1"/>
        <w:spacing w:lineRule="auto" w:line="360"/>
        <w:rPr>
          <w:rFonts w:ascii="宋体" w:hAnsi="宋体"/>
          <w:bCs/>
          <w:sz w:val="24"/>
        </w:rPr>
      </w:pPr>
      <w:r>
        <w:rPr>
          <w:rFonts w:ascii="宋体" w:hAnsi="宋体"/>
          <w:bCs/>
          <w:sz w:val="24"/>
        </w:rPr>
        <w:t xml:space="preserve">3、如召集人为管理人，还应另行书面通知</w:t>
      </w:r>
      <w:r>
        <w:rPr>
          <w:rFonts w:ascii="宋体" w:hAnsi="宋体"/>
          <w:bCs/>
          <w:sz w:val="24"/>
        </w:rPr>
        <w:t xml:space="preserve">托管人到指定地点对表决意见的计票进行监督；如召集人为托管</w:t>
      </w:r>
      <w:r>
        <w:rPr>
          <w:rFonts w:ascii="宋体" w:hAnsi="宋体"/>
          <w:bCs/>
          <w:sz w:val="24"/>
        </w:rPr>
        <w:t xml:space="preserve">人，则应另行书面通知管理人到指定地点对表决意见的计票进行监督；如召集人为集合计划份额持有人，则应另行书面通知管理人和托管人到指定地点对表决意见的计票进行监督。管理人或托管人拒不派代表对书面表决意见的计票进行监督的，不影响表决意见的计票效力。</w:t>
      </w:r>
      <w:r/>
    </w:p>
    <w:p>
      <w:pPr>
        <w:pStyle w:val="369"/>
        <w:ind w:firstLine="480"/>
        <w:snapToGrid w:val="1"/>
        <w:spacing w:lineRule="auto" w:line="360"/>
        <w:rPr>
          <w:rFonts w:ascii="宋体" w:hAnsi="宋体"/>
          <w:bCs/>
          <w:sz w:val="24"/>
        </w:rPr>
      </w:pPr>
      <w:r/>
      <w:bookmarkStart w:id="179" w:name="_Toc57530246"/>
      <w:r/>
      <w:bookmarkStart w:id="180" w:name="_Toc79392587"/>
      <w:r/>
      <w:bookmarkStart w:id="181" w:name="_Toc15641223"/>
      <w:r>
        <w:rPr>
          <w:rFonts w:ascii="宋体" w:hAnsi="宋体"/>
          <w:bCs/>
          <w:sz w:val="24"/>
        </w:rPr>
        <w:t xml:space="preserve">四、集合计划份额持有人出席会议的方式</w:t>
      </w:r>
      <w:bookmarkEnd w:id="179"/>
      <w:r/>
      <w:bookmarkEnd w:id="180"/>
      <w:r/>
      <w:bookmarkEnd w:id="181"/>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集合计划份额持有人大会可通过现场开会方式</w:t>
      </w:r>
      <w:r>
        <w:rPr>
          <w:rFonts w:ascii="宋体" w:hAnsi="宋体"/>
          <w:bCs/>
          <w:sz w:val="24"/>
        </w:rPr>
        <w:t xml:space="preserve">、</w:t>
      </w:r>
      <w:r>
        <w:rPr>
          <w:rFonts w:ascii="宋体" w:hAnsi="宋体"/>
          <w:bCs/>
          <w:sz w:val="24"/>
        </w:rPr>
        <w:t xml:space="preserve">通讯开会方式或法律法规、监管机构允许的其他方式召开，会议的召开方式由会议召集人确定。</w:t>
      </w:r>
      <w:r/>
    </w:p>
    <w:p>
      <w:pPr>
        <w:pStyle w:val="369"/>
        <w:ind w:firstLine="480"/>
        <w:snapToGrid w:val="1"/>
        <w:spacing w:lineRule="auto" w:line="360"/>
        <w:rPr>
          <w:rFonts w:ascii="宋体" w:hAnsi="宋体"/>
          <w:bCs/>
          <w:sz w:val="24"/>
        </w:rPr>
      </w:pPr>
      <w:r>
        <w:rPr>
          <w:rFonts w:ascii="宋体" w:hAnsi="宋体"/>
          <w:bCs/>
          <w:sz w:val="24"/>
        </w:rPr>
        <w:t xml:space="preserve">1、现场开会。由集合计划份额持有人本人出席或以代</w:t>
      </w:r>
      <w:r>
        <w:rPr>
          <w:rFonts w:ascii="宋体" w:hAnsi="宋体"/>
          <w:bCs/>
          <w:sz w:val="24"/>
        </w:rPr>
        <w:t xml:space="preserve">理投票授权委托证明委派代表出席，现场开会时管理人和托管人</w:t>
      </w:r>
      <w:r>
        <w:rPr>
          <w:rFonts w:ascii="宋体" w:hAnsi="宋体"/>
          <w:bCs/>
          <w:sz w:val="24"/>
        </w:rPr>
        <w:t xml:space="preserve">的授权代表应当列席集合计划份额持有人大会，管理人或</w:t>
      </w:r>
      <w:r>
        <w:rPr>
          <w:rFonts w:ascii="宋体" w:hAnsi="宋体"/>
          <w:bCs/>
          <w:sz w:val="24"/>
        </w:rPr>
        <w:t xml:space="preserve">托管人</w:t>
      </w:r>
      <w:r>
        <w:rPr>
          <w:rFonts w:ascii="宋体" w:hAnsi="宋体"/>
          <w:bCs/>
          <w:sz w:val="24"/>
        </w:rPr>
        <w:t xml:space="preserve">不派代表列席的，不影响表决效力。现场开会同时符合以下条件时，可以进行集合计划份额持有人大会议程：</w:t>
      </w:r>
      <w:r/>
    </w:p>
    <w:p>
      <w:pPr>
        <w:pStyle w:val="369"/>
        <w:ind w:firstLine="480"/>
        <w:snapToGrid w:val="1"/>
        <w:spacing w:lineRule="auto" w:line="360"/>
        <w:rPr>
          <w:rFonts w:ascii="宋体" w:hAnsi="宋体"/>
          <w:bCs/>
          <w:sz w:val="24"/>
        </w:rPr>
      </w:pPr>
      <w:r>
        <w:rPr>
          <w:rFonts w:ascii="宋体" w:hAnsi="宋体"/>
          <w:bCs/>
          <w:sz w:val="24"/>
        </w:rPr>
        <w:t xml:space="preserve">（1）亲自出席会议者持有</w:t>
      </w:r>
      <w:r>
        <w:rPr>
          <w:rFonts w:ascii="宋体" w:hAnsi="宋体"/>
          <w:bCs/>
          <w:sz w:val="24"/>
        </w:rPr>
        <w:t xml:space="preserve">集合计划</w:t>
      </w:r>
      <w:r>
        <w:rPr>
          <w:rFonts w:ascii="宋体" w:hAnsi="宋体"/>
          <w:bCs/>
          <w:sz w:val="24"/>
        </w:rPr>
        <w:t xml:space="preserve">份额的凭证、受托出席会议者出具的</w:t>
      </w:r>
      <w:r>
        <w:rPr>
          <w:rFonts w:ascii="宋体" w:hAnsi="宋体"/>
          <w:bCs/>
          <w:sz w:val="24"/>
        </w:rPr>
        <w:t xml:space="preserve">委托人</w:t>
      </w:r>
      <w:r>
        <w:rPr>
          <w:rFonts w:ascii="宋体" w:hAnsi="宋体"/>
          <w:bCs/>
          <w:sz w:val="24"/>
        </w:rPr>
        <w:t xml:space="preserve">持有</w:t>
      </w:r>
      <w:r>
        <w:rPr>
          <w:rFonts w:ascii="宋体" w:hAnsi="宋体"/>
          <w:bCs/>
          <w:sz w:val="24"/>
        </w:rPr>
        <w:t xml:space="preserve">集合计划</w:t>
      </w:r>
      <w:r>
        <w:rPr>
          <w:rFonts w:ascii="宋体" w:hAnsi="宋体"/>
          <w:bCs/>
          <w:sz w:val="24"/>
        </w:rPr>
        <w:t xml:space="preserve">份额的凭证及</w:t>
      </w:r>
      <w:r>
        <w:rPr>
          <w:rFonts w:ascii="宋体" w:hAnsi="宋体"/>
          <w:bCs/>
          <w:sz w:val="24"/>
        </w:rPr>
        <w:t xml:space="preserve">委托人</w:t>
      </w:r>
      <w:r>
        <w:rPr>
          <w:rFonts w:ascii="宋体" w:hAnsi="宋体"/>
          <w:bCs/>
          <w:sz w:val="24"/>
        </w:rPr>
        <w:t xml:space="preserve">的代理投票授权委托证明符合法律法规、《集合计划合同》和会议通知的规定，并且持有</w:t>
      </w:r>
      <w:r>
        <w:rPr>
          <w:rFonts w:ascii="宋体" w:hAnsi="宋体"/>
          <w:bCs/>
          <w:sz w:val="24"/>
        </w:rPr>
        <w:t xml:space="preserve">集合计划</w:t>
      </w:r>
      <w:r>
        <w:rPr>
          <w:rFonts w:ascii="宋体" w:hAnsi="宋体"/>
          <w:bCs/>
          <w:sz w:val="24"/>
        </w:rPr>
        <w:t xml:space="preserve">份额的凭证与管理人持有的登记资料相符；</w:t>
      </w:r>
      <w:r/>
    </w:p>
    <w:p>
      <w:pPr>
        <w:pStyle w:val="369"/>
        <w:ind w:firstLine="480"/>
        <w:snapToGrid w:val="1"/>
        <w:spacing w:lineRule="auto" w:line="360"/>
        <w:rPr>
          <w:rFonts w:ascii="宋体" w:hAnsi="宋体"/>
          <w:bCs/>
          <w:sz w:val="24"/>
        </w:rPr>
      </w:pPr>
      <w:r>
        <w:rPr>
          <w:rFonts w:ascii="宋体" w:hAnsi="宋体"/>
          <w:bCs/>
          <w:sz w:val="24"/>
        </w:rPr>
        <w:t xml:space="preserve">（2）经核对，汇总到会者出示的在权益登记日持有</w:t>
      </w:r>
      <w:r>
        <w:rPr>
          <w:rFonts w:ascii="宋体" w:hAnsi="宋体"/>
          <w:bCs/>
          <w:sz w:val="24"/>
        </w:rPr>
        <w:t xml:space="preserve">集合计划</w:t>
      </w:r>
      <w:r>
        <w:rPr>
          <w:rFonts w:ascii="宋体" w:hAnsi="宋体"/>
          <w:bCs/>
          <w:sz w:val="24"/>
        </w:rPr>
        <w:t xml:space="preserve">份额的凭证显示，有效的</w:t>
      </w:r>
      <w:r>
        <w:rPr>
          <w:rFonts w:ascii="宋体" w:hAnsi="宋体"/>
          <w:bCs/>
          <w:sz w:val="24"/>
        </w:rPr>
        <w:t xml:space="preserve">集合计划</w:t>
      </w:r>
      <w:r>
        <w:rPr>
          <w:rFonts w:ascii="宋体" w:hAnsi="宋体"/>
          <w:bCs/>
          <w:sz w:val="24"/>
        </w:rPr>
        <w:t xml:space="preserve">份额不少于本集合计划在权益登记日</w:t>
      </w:r>
      <w:r>
        <w:rPr>
          <w:rFonts w:ascii="宋体" w:hAnsi="宋体"/>
          <w:bCs/>
          <w:sz w:val="24"/>
        </w:rPr>
        <w:t xml:space="preserve">集合计划</w:t>
      </w:r>
      <w:r>
        <w:rPr>
          <w:rFonts w:ascii="宋体" w:hAnsi="宋体"/>
          <w:bCs/>
          <w:sz w:val="24"/>
        </w:rPr>
        <w:t xml:space="preserve">总份额的二分之一（含二分之一）。若到会者在权益登记日代表的有效的</w:t>
      </w:r>
      <w:r>
        <w:rPr>
          <w:rFonts w:ascii="宋体" w:hAnsi="宋体"/>
          <w:bCs/>
          <w:sz w:val="24"/>
        </w:rPr>
        <w:t xml:space="preserve">集合计划</w:t>
      </w:r>
      <w:r>
        <w:rPr>
          <w:rFonts w:ascii="宋体" w:hAnsi="宋体"/>
          <w:bCs/>
          <w:sz w:val="24"/>
        </w:rPr>
        <w:t xml:space="preserve">份额少于本集合计划在权益登记日</w:t>
      </w:r>
      <w:r>
        <w:rPr>
          <w:rFonts w:ascii="宋体" w:hAnsi="宋体"/>
          <w:bCs/>
          <w:sz w:val="24"/>
        </w:rPr>
        <w:t xml:space="preserve">集合计划</w:t>
      </w:r>
      <w:r>
        <w:rPr>
          <w:rFonts w:ascii="宋体" w:hAnsi="宋体"/>
          <w:bCs/>
          <w:sz w:val="24"/>
        </w:rPr>
        <w:t xml:space="preserve">总份额的二分之一，召集人可以在原公告的集合计划份额持有人大会召开时间的3个月以后、6个月以内，就原定审议事项重新召集集合计划份额持有人大会。重新召集的集合计划份额持有人大会到会者在权益登记日代表的有效的</w:t>
      </w:r>
      <w:r>
        <w:rPr>
          <w:rFonts w:ascii="宋体" w:hAnsi="宋体"/>
          <w:bCs/>
          <w:sz w:val="24"/>
        </w:rPr>
        <w:t xml:space="preserve">集合计划</w:t>
      </w:r>
      <w:r>
        <w:rPr>
          <w:rFonts w:ascii="宋体" w:hAnsi="宋体"/>
          <w:bCs/>
          <w:sz w:val="24"/>
        </w:rPr>
        <w:t xml:space="preserve">份额应不少于本集合计划在权益登记日</w:t>
      </w:r>
      <w:r>
        <w:rPr>
          <w:rFonts w:ascii="宋体" w:hAnsi="宋体"/>
          <w:bCs/>
          <w:sz w:val="24"/>
        </w:rPr>
        <w:t xml:space="preserve">集合计划</w:t>
      </w:r>
      <w:r>
        <w:rPr>
          <w:rFonts w:ascii="宋体" w:hAnsi="宋体"/>
          <w:bCs/>
          <w:sz w:val="24"/>
        </w:rPr>
        <w:t xml:space="preserve">总份额的三分之一（含三分之一）。</w:t>
      </w:r>
      <w:r/>
    </w:p>
    <w:p>
      <w:pPr>
        <w:pStyle w:val="369"/>
        <w:ind w:firstLine="480"/>
        <w:snapToGrid w:val="1"/>
        <w:spacing w:lineRule="auto" w:line="360"/>
        <w:rPr>
          <w:rFonts w:ascii="宋体" w:hAnsi="宋体"/>
          <w:bCs/>
          <w:sz w:val="24"/>
        </w:rPr>
      </w:pPr>
      <w:r>
        <w:rPr>
          <w:rFonts w:ascii="宋体" w:hAnsi="宋体"/>
          <w:bCs/>
          <w:sz w:val="24"/>
        </w:rPr>
        <w:t xml:space="preserve">2、通讯开会。通讯开会系指集合计划份额持有人将其对表决事项的投票以书</w:t>
      </w:r>
      <w:r>
        <w:rPr>
          <w:rFonts w:ascii="宋体" w:hAnsi="宋体"/>
          <w:bCs/>
          <w:sz w:val="24"/>
        </w:rPr>
        <w:t xml:space="preserve">面形式</w:t>
      </w:r>
      <w:r>
        <w:rPr>
          <w:rFonts w:ascii="宋体" w:hAnsi="宋体"/>
          <w:bCs/>
          <w:sz w:val="24"/>
        </w:rPr>
        <w:t xml:space="preserve">或集合计划合同约定的其他方式</w:t>
      </w:r>
      <w:r>
        <w:rPr>
          <w:rFonts w:ascii="宋体" w:hAnsi="宋体"/>
          <w:bCs/>
          <w:sz w:val="24"/>
        </w:rPr>
        <w:t xml:space="preserve">在表决</w:t>
      </w:r>
      <w:r>
        <w:rPr>
          <w:rFonts w:ascii="宋体" w:hAnsi="宋体"/>
          <w:bCs/>
          <w:sz w:val="24"/>
        </w:rPr>
        <w:t xml:space="preserve">截止</w:t>
      </w:r>
      <w:r>
        <w:rPr>
          <w:rFonts w:ascii="宋体" w:hAnsi="宋体"/>
          <w:bCs/>
          <w:sz w:val="24"/>
        </w:rPr>
        <w:t xml:space="preserve">日以前送达至召集人指定的地址</w:t>
      </w:r>
      <w:r>
        <w:rPr>
          <w:rFonts w:ascii="宋体" w:hAnsi="宋体"/>
          <w:bCs/>
          <w:sz w:val="24"/>
        </w:rPr>
        <w:t xml:space="preserve">或系统</w:t>
      </w:r>
      <w:r>
        <w:rPr>
          <w:rFonts w:ascii="宋体" w:hAnsi="宋体"/>
          <w:bCs/>
          <w:sz w:val="24"/>
        </w:rPr>
        <w:t xml:space="preserve">。通讯开会应以书面方式</w:t>
      </w:r>
      <w:r>
        <w:rPr>
          <w:rFonts w:ascii="宋体" w:hAnsi="宋体"/>
          <w:bCs/>
          <w:sz w:val="24"/>
        </w:rPr>
        <w:t xml:space="preserve">或集合计划合同约定的其他方式</w:t>
      </w:r>
      <w:r>
        <w:rPr>
          <w:rFonts w:ascii="宋体" w:hAnsi="宋体"/>
          <w:bCs/>
          <w:sz w:val="24"/>
        </w:rPr>
        <w:t xml:space="preserve">进行表决。</w:t>
      </w:r>
      <w:r/>
    </w:p>
    <w:p>
      <w:pPr>
        <w:pStyle w:val="369"/>
        <w:ind w:firstLine="480"/>
        <w:snapToGrid w:val="1"/>
        <w:spacing w:lineRule="auto" w:line="360"/>
        <w:rPr>
          <w:rFonts w:ascii="宋体" w:hAnsi="宋体"/>
          <w:bCs/>
          <w:sz w:val="24"/>
        </w:rPr>
      </w:pPr>
      <w:r>
        <w:rPr>
          <w:rFonts w:ascii="宋体" w:hAnsi="宋体"/>
          <w:bCs/>
          <w:sz w:val="24"/>
        </w:rPr>
        <w:t xml:space="preserve">在同时符合以下条件时，通讯开会的方式视为有效：</w:t>
      </w:r>
      <w:r/>
    </w:p>
    <w:p>
      <w:pPr>
        <w:pStyle w:val="369"/>
        <w:ind w:firstLine="480"/>
        <w:snapToGrid w:val="1"/>
        <w:spacing w:lineRule="auto" w:line="360"/>
        <w:rPr>
          <w:rFonts w:ascii="宋体" w:hAnsi="宋体"/>
          <w:bCs/>
          <w:sz w:val="24"/>
        </w:rPr>
      </w:pPr>
      <w:r>
        <w:rPr>
          <w:rFonts w:ascii="宋体" w:hAnsi="宋体"/>
          <w:bCs/>
          <w:sz w:val="24"/>
        </w:rPr>
        <w:t xml:space="preserve">（1）会议召集人按《集合计划合同》约定公布会议通知后，在</w:t>
      </w:r>
      <w:r>
        <w:rPr>
          <w:rFonts w:ascii="宋体" w:hAnsi="宋体"/>
          <w:bCs/>
          <w:sz w:val="24"/>
        </w:rPr>
        <w:t xml:space="preserve">2</w:t>
      </w:r>
      <w:r>
        <w:rPr>
          <w:rFonts w:ascii="宋体" w:hAnsi="宋体"/>
          <w:bCs/>
          <w:sz w:val="24"/>
        </w:rPr>
        <w:t xml:space="preserve">个工作日内连续公布相关提示性公告；</w:t>
      </w:r>
      <w:r/>
    </w:p>
    <w:p>
      <w:pPr>
        <w:pStyle w:val="369"/>
        <w:ind w:firstLine="480"/>
        <w:snapToGrid w:val="1"/>
        <w:spacing w:lineRule="auto" w:line="360"/>
        <w:rPr>
          <w:rFonts w:ascii="宋体" w:hAnsi="宋体"/>
          <w:bCs/>
          <w:sz w:val="24"/>
        </w:rPr>
      </w:pPr>
      <w:r>
        <w:rPr>
          <w:rFonts w:ascii="宋体" w:hAnsi="宋体"/>
          <w:bCs/>
          <w:sz w:val="24"/>
        </w:rPr>
        <w:t xml:space="preserve">（2）召集人按集合计划合同</w:t>
      </w:r>
      <w:r>
        <w:rPr>
          <w:rFonts w:ascii="宋体" w:hAnsi="宋体"/>
          <w:bCs/>
          <w:sz w:val="24"/>
        </w:rPr>
        <w:t xml:space="preserve">约</w:t>
      </w:r>
      <w:r>
        <w:rPr>
          <w:rFonts w:ascii="宋体" w:hAnsi="宋体"/>
          <w:bCs/>
          <w:sz w:val="24"/>
        </w:rPr>
        <w:t xml:space="preserve">定通知托管人（如果托管人为召集人，则为管理人）到指定地点对书面表决意见的计票进行监督。会议召集人在托管人（如果托管人为召集人，则为管理人）和公证机关的监督下按照会议通知规定的方式收取份额持有人的书面表决</w:t>
      </w:r>
      <w:r>
        <w:rPr>
          <w:rFonts w:ascii="宋体" w:hAnsi="宋体"/>
          <w:bCs/>
          <w:sz w:val="24"/>
        </w:rPr>
        <w:t xml:space="preserve">意见；托管人或管理人经通知不参加收取书面表决意见的，不影</w:t>
      </w:r>
      <w:r>
        <w:rPr>
          <w:rFonts w:ascii="宋体" w:hAnsi="宋体"/>
          <w:bCs/>
          <w:sz w:val="24"/>
        </w:rPr>
        <w:t xml:space="preserve">响表决效力；</w:t>
      </w:r>
      <w:r/>
    </w:p>
    <w:p>
      <w:pPr>
        <w:pStyle w:val="369"/>
        <w:ind w:firstLine="540"/>
        <w:snapToGrid w:val="1"/>
        <w:spacing w:lineRule="auto" w:line="360"/>
        <w:rPr>
          <w:rFonts w:ascii="宋体" w:hAnsi="宋体"/>
          <w:bCs/>
          <w:sz w:val="24"/>
        </w:rPr>
      </w:pPr>
      <w:r>
        <w:rPr>
          <w:rFonts w:ascii="宋体" w:hAnsi="宋体"/>
          <w:bCs/>
          <w:sz w:val="24"/>
        </w:rPr>
        <w:t xml:space="preserve">（3）本人直接出具书面意见或授权他人代表出具书面意见的，集合计划份额持有人所持有的</w:t>
      </w:r>
      <w:r>
        <w:rPr>
          <w:rFonts w:ascii="宋体" w:hAnsi="宋体"/>
          <w:bCs/>
          <w:sz w:val="24"/>
        </w:rPr>
        <w:t xml:space="preserve">集合计划</w:t>
      </w:r>
      <w:r>
        <w:rPr>
          <w:rFonts w:ascii="宋体" w:hAnsi="宋体"/>
          <w:bCs/>
          <w:sz w:val="24"/>
        </w:rPr>
        <w:t xml:space="preserve">份额不小于在权益登记日</w:t>
      </w:r>
      <w:r>
        <w:rPr>
          <w:rFonts w:ascii="宋体" w:hAnsi="宋体"/>
          <w:bCs/>
          <w:sz w:val="24"/>
        </w:rPr>
        <w:t xml:space="preserve">集合计划</w:t>
      </w:r>
      <w:r>
        <w:rPr>
          <w:rFonts w:ascii="宋体" w:hAnsi="宋体"/>
          <w:bCs/>
          <w:sz w:val="24"/>
        </w:rPr>
        <w:t xml:space="preserve">总份额的</w:t>
      </w:r>
      <w:r>
        <w:rPr>
          <w:rFonts w:ascii="宋体" w:hAnsi="宋体"/>
          <w:bCs/>
          <w:sz w:val="24"/>
        </w:rPr>
        <w:t xml:space="preserve">二分之一（含二分之一）；若本人直接出具书面意见或授权他人代表出具书面意见集合计划份额持有人所持有的集合计划份额小于在权益登记日集合计划总份额的二分之一，召集人可以在原公告的集合计划份额持有人大会召开时间的3个月以后、6个月以内，就原定审议事项重新召集集合计划份额持有人大会。重新召集的集合计划份额持有人大会应当有代</w:t>
      </w:r>
      <w:r>
        <w:rPr>
          <w:rFonts w:ascii="宋体" w:hAnsi="宋体"/>
          <w:bCs/>
          <w:sz w:val="24"/>
        </w:rPr>
        <w:t xml:space="preserve">表三分之一以上（含三分之一）集合计划份额的集合计划份额持</w:t>
      </w:r>
      <w:r>
        <w:rPr>
          <w:rFonts w:ascii="宋体" w:hAnsi="宋体"/>
          <w:bCs/>
          <w:sz w:val="24"/>
        </w:rPr>
        <w:t xml:space="preserve">有人直接出具书面意见或授权他人代表出具书面意见</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（4）上述第（3）项中直接出具</w:t>
      </w:r>
      <w:r>
        <w:rPr>
          <w:rFonts w:ascii="宋体" w:hAnsi="宋体"/>
          <w:bCs/>
          <w:sz w:val="24"/>
        </w:rPr>
        <w:t xml:space="preserve">书面</w:t>
      </w:r>
      <w:r>
        <w:rPr>
          <w:rFonts w:ascii="宋体" w:hAnsi="宋体"/>
          <w:bCs/>
          <w:sz w:val="24"/>
        </w:rPr>
        <w:t xml:space="preserve">意见的集合计划份额持有人或受托代表他人出具</w:t>
      </w:r>
      <w:r>
        <w:rPr>
          <w:rFonts w:ascii="宋体" w:hAnsi="宋体"/>
          <w:bCs/>
          <w:sz w:val="24"/>
        </w:rPr>
        <w:t xml:space="preserve">书面</w:t>
      </w:r>
      <w:r>
        <w:rPr>
          <w:rFonts w:ascii="宋体" w:hAnsi="宋体"/>
          <w:bCs/>
          <w:sz w:val="24"/>
        </w:rPr>
        <w:t xml:space="preserve">意见的代理人，同时提交的持有</w:t>
      </w:r>
      <w:r>
        <w:rPr>
          <w:rFonts w:ascii="宋体" w:hAnsi="宋体"/>
          <w:bCs/>
          <w:sz w:val="24"/>
        </w:rPr>
        <w:t xml:space="preserve">集合计划</w:t>
      </w:r>
      <w:r>
        <w:rPr>
          <w:rFonts w:ascii="宋体" w:hAnsi="宋体"/>
          <w:bCs/>
          <w:sz w:val="24"/>
        </w:rPr>
        <w:t xml:space="preserve">份额的凭证、受托出具书面意见的代理人出具的</w:t>
      </w:r>
      <w:r>
        <w:rPr>
          <w:rFonts w:ascii="宋体" w:hAnsi="宋体"/>
          <w:bCs/>
          <w:sz w:val="24"/>
        </w:rPr>
        <w:t xml:space="preserve">委托人</w:t>
      </w:r>
      <w:r>
        <w:rPr>
          <w:rFonts w:ascii="宋体" w:hAnsi="宋体"/>
          <w:bCs/>
          <w:sz w:val="24"/>
        </w:rPr>
        <w:t xml:space="preserve">持有</w:t>
      </w:r>
      <w:r>
        <w:rPr>
          <w:rFonts w:ascii="宋体" w:hAnsi="宋体"/>
          <w:bCs/>
          <w:sz w:val="24"/>
        </w:rPr>
        <w:t xml:space="preserve">集合计划</w:t>
      </w:r>
      <w:r>
        <w:rPr>
          <w:rFonts w:ascii="宋体" w:hAnsi="宋体"/>
          <w:bCs/>
          <w:sz w:val="24"/>
        </w:rPr>
        <w:t xml:space="preserve">份额的凭证及</w:t>
      </w:r>
      <w:r>
        <w:rPr>
          <w:rFonts w:ascii="宋体" w:hAnsi="宋体"/>
          <w:bCs/>
          <w:sz w:val="24"/>
        </w:rPr>
        <w:t xml:space="preserve">委托人</w:t>
      </w:r>
      <w:r>
        <w:rPr>
          <w:rFonts w:ascii="宋体" w:hAnsi="宋体"/>
          <w:bCs/>
          <w:sz w:val="24"/>
        </w:rPr>
        <w:t xml:space="preserve">的代理投票授权委托证明符合法律法规、《集合计划合同》和会议通知的规定，并与</w:t>
      </w:r>
      <w:r>
        <w:rPr>
          <w:rFonts w:ascii="宋体" w:hAnsi="宋体"/>
          <w:bCs/>
          <w:sz w:val="24"/>
        </w:rPr>
        <w:t xml:space="preserve">集合计划登记</w:t>
      </w:r>
      <w:r>
        <w:rPr>
          <w:rFonts w:ascii="宋体" w:hAnsi="宋体"/>
          <w:bCs/>
          <w:sz w:val="24"/>
        </w:rPr>
        <w:t xml:space="preserve">机构记录相符。</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、在不与法律法规冲突的前提下，集合计划份额持有人大会亦可</w:t>
      </w:r>
      <w:r>
        <w:rPr>
          <w:rFonts w:ascii="宋体" w:hAnsi="宋体"/>
          <w:color w:val="000000"/>
          <w:sz w:val="24"/>
        </w:rPr>
        <w:t xml:space="preserve">采用</w:t>
      </w:r>
      <w:r>
        <w:rPr>
          <w:rFonts w:ascii="宋体" w:hAnsi="宋体"/>
          <w:bCs/>
          <w:color w:val="000000"/>
          <w:sz w:val="24"/>
        </w:rPr>
        <w:t xml:space="preserve">网络、电话、短信等</w:t>
      </w:r>
      <w:r>
        <w:rPr>
          <w:rFonts w:ascii="宋体" w:hAnsi="宋体"/>
          <w:color w:val="000000"/>
          <w:sz w:val="24"/>
        </w:rPr>
        <w:t xml:space="preserve">其他非现场方式或者以现场方式与</w:t>
      </w:r>
      <w:r>
        <w:rPr>
          <w:rFonts w:ascii="宋体" w:hAnsi="宋体"/>
          <w:color w:val="000000"/>
          <w:sz w:val="24"/>
        </w:rPr>
        <w:t xml:space="preserve">非现场方式相结合的方式</w:t>
      </w:r>
      <w:r>
        <w:rPr>
          <w:rFonts w:ascii="宋体" w:hAnsi="宋体"/>
          <w:bCs/>
          <w:sz w:val="24"/>
        </w:rPr>
        <w:t xml:space="preserve">召开，</w:t>
      </w:r>
      <w:r>
        <w:rPr>
          <w:rFonts w:ascii="宋体" w:hAnsi="宋体"/>
          <w:color w:val="000000"/>
          <w:sz w:val="24"/>
        </w:rPr>
        <w:t xml:space="preserve">会议程序比照现场开会和通讯开会的程序进行。</w:t>
      </w:r>
      <w:r>
        <w:rPr>
          <w:rFonts w:ascii="宋体" w:hAnsi="宋体"/>
          <w:bCs/>
          <w:sz w:val="24"/>
        </w:rPr>
        <w:t xml:space="preserve">集合计划份额持有人可以采用书面、网络、电话、短信或其他方式进行表决，具体方式由会议召集人确定并在会议通知中列明。</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、在不与法律法规冲突的前提下，集合计划份额持有人</w:t>
      </w:r>
      <w:r>
        <w:rPr>
          <w:rFonts w:ascii="宋体" w:hAnsi="宋体"/>
          <w:bCs/>
          <w:color w:val="000000"/>
          <w:sz w:val="24"/>
        </w:rPr>
        <w:t xml:space="preserve">可采用其他书面或非书面方式</w:t>
      </w:r>
      <w:r>
        <w:rPr>
          <w:rFonts w:ascii="宋体" w:hAnsi="宋体"/>
          <w:bCs/>
          <w:sz w:val="24"/>
        </w:rPr>
        <w:t xml:space="preserve">授权他人代为出席集合计划</w:t>
      </w:r>
      <w:r>
        <w:rPr>
          <w:rFonts w:ascii="宋体" w:hAnsi="宋体"/>
          <w:bCs/>
          <w:color w:val="000000"/>
          <w:sz w:val="24"/>
        </w:rPr>
        <w:t xml:space="preserve">份额持有人大会并行使表决权</w:t>
      </w:r>
      <w:r>
        <w:rPr>
          <w:rFonts w:ascii="宋体" w:hAnsi="宋体"/>
          <w:bCs/>
          <w:sz w:val="24"/>
        </w:rPr>
        <w:t xml:space="preserve">，授权方式可以采用书面、网络、电话、短信或其他方式，具体方式在会议通知中列明。</w:t>
      </w:r>
      <w:r/>
    </w:p>
    <w:p>
      <w:pPr>
        <w:pStyle w:val="369"/>
        <w:ind w:firstLine="480"/>
        <w:snapToGrid w:val="1"/>
        <w:spacing w:lineRule="auto" w:line="360"/>
        <w:rPr>
          <w:rFonts w:ascii="宋体" w:hAnsi="宋体"/>
          <w:bCs/>
          <w:sz w:val="24"/>
        </w:rPr>
      </w:pPr>
      <w:r/>
      <w:bookmarkStart w:id="182" w:name="_Toc79392588"/>
      <w:r/>
      <w:bookmarkStart w:id="183" w:name="_Toc57530247"/>
      <w:r/>
      <w:bookmarkStart w:id="184" w:name="_Toc15641224"/>
      <w:r>
        <w:rPr>
          <w:rFonts w:ascii="宋体" w:hAnsi="宋体"/>
          <w:bCs/>
          <w:sz w:val="24"/>
        </w:rPr>
        <w:t xml:space="preserve">五、议事内容与程序</w:t>
      </w:r>
      <w:bookmarkEnd w:id="182"/>
      <w:r/>
      <w:bookmarkEnd w:id="183"/>
      <w:r/>
      <w:bookmarkEnd w:id="184"/>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1、议事内容及提案权</w:t>
      </w:r>
      <w:r/>
    </w:p>
    <w:p>
      <w:pPr>
        <w:pStyle w:val="369"/>
        <w:ind w:firstLine="480"/>
        <w:snapToGrid w:val="1"/>
        <w:spacing w:lineRule="auto" w:line="360"/>
        <w:rPr>
          <w:rFonts w:ascii="宋体" w:hAnsi="宋体"/>
          <w:bCs/>
          <w:sz w:val="24"/>
        </w:rPr>
      </w:pPr>
      <w:r>
        <w:rPr>
          <w:rFonts w:ascii="宋体" w:hAnsi="宋体"/>
          <w:bCs/>
          <w:sz w:val="24"/>
        </w:rPr>
        <w:t xml:space="preserve">议事内容为关系</w:t>
      </w:r>
      <w:r>
        <w:rPr>
          <w:rFonts w:ascii="宋体" w:hAnsi="宋体"/>
          <w:bCs/>
          <w:sz w:val="24"/>
        </w:rPr>
        <w:t xml:space="preserve">集合计划</w:t>
      </w:r>
      <w:r>
        <w:rPr>
          <w:rFonts w:ascii="宋体" w:hAnsi="宋体"/>
          <w:bCs/>
          <w:sz w:val="24"/>
        </w:rPr>
        <w:t xml:space="preserve">份额持有人利益的重大事项，如《集合计划合同》的重大修改、决</w:t>
      </w:r>
      <w:r>
        <w:rPr>
          <w:rFonts w:ascii="宋体" w:hAnsi="宋体"/>
          <w:bCs/>
          <w:sz w:val="24"/>
        </w:rPr>
        <w:t xml:space="preserve">定终止《集合计划合同》、更换管理人、更换托管人、与其他</w:t>
      </w:r>
      <w:r>
        <w:rPr>
          <w:rFonts w:ascii="宋体" w:hAnsi="宋体"/>
          <w:bCs/>
          <w:sz w:val="24"/>
        </w:rPr>
        <w:t xml:space="preserve">集合资产管理计划</w:t>
      </w:r>
      <w:r>
        <w:rPr>
          <w:rFonts w:ascii="宋体" w:hAnsi="宋体"/>
          <w:bCs/>
          <w:sz w:val="24"/>
        </w:rPr>
        <w:t xml:space="preserve">合并、法律法规及《集合计划合同》规定的其他事项以及会议召集人认为需提交</w:t>
      </w:r>
      <w:r>
        <w:rPr>
          <w:rFonts w:ascii="宋体" w:hAnsi="宋体"/>
          <w:bCs/>
          <w:sz w:val="24"/>
        </w:rPr>
        <w:t xml:space="preserve">集合计划</w:t>
      </w:r>
      <w:r>
        <w:rPr>
          <w:rFonts w:ascii="宋体" w:hAnsi="宋体"/>
          <w:bCs/>
          <w:sz w:val="24"/>
        </w:rPr>
        <w:t xml:space="preserve">份额持有人大会讨论的其他事项。</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份额持有人大会的召集人发出召集会议的通知后，对原有提案的修改应当在</w:t>
      </w:r>
      <w:r>
        <w:rPr>
          <w:rFonts w:ascii="宋体" w:hAnsi="宋体"/>
          <w:bCs/>
          <w:sz w:val="24"/>
        </w:rPr>
        <w:t xml:space="preserve">集合计划</w:t>
      </w:r>
      <w:r>
        <w:rPr>
          <w:rFonts w:ascii="宋体" w:hAnsi="宋体"/>
          <w:bCs/>
          <w:sz w:val="24"/>
        </w:rPr>
        <w:t xml:space="preserve">份额持有人大会召开前及时公告。</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份额持有人大会不得对未事先公告的议事内容进行表决。</w:t>
      </w:r>
      <w:r/>
    </w:p>
    <w:p>
      <w:pPr>
        <w:pStyle w:val="369"/>
        <w:ind w:firstLine="480"/>
        <w:snapToGrid w:val="1"/>
        <w:spacing w:lineRule="auto" w:line="360"/>
        <w:rPr>
          <w:rFonts w:ascii="宋体" w:hAnsi="宋体"/>
          <w:bCs/>
          <w:sz w:val="24"/>
        </w:rPr>
      </w:pPr>
      <w:r>
        <w:rPr>
          <w:rFonts w:ascii="宋体" w:hAnsi="宋体"/>
          <w:bCs/>
          <w:sz w:val="24"/>
        </w:rPr>
        <w:t xml:space="preserve">2、议事程序</w:t>
      </w:r>
      <w:r/>
    </w:p>
    <w:p>
      <w:pPr>
        <w:pStyle w:val="369"/>
        <w:ind w:firstLine="480"/>
        <w:snapToGrid w:val="1"/>
        <w:spacing w:lineRule="auto" w:line="360"/>
        <w:rPr>
          <w:rFonts w:ascii="宋体" w:hAnsi="宋体"/>
          <w:bCs/>
          <w:sz w:val="24"/>
        </w:rPr>
      </w:pPr>
      <w:r>
        <w:rPr>
          <w:rFonts w:ascii="宋体" w:hAnsi="宋体"/>
          <w:bCs/>
          <w:sz w:val="24"/>
        </w:rPr>
        <w:t xml:space="preserve">（1）现场开会</w:t>
      </w:r>
      <w:r/>
    </w:p>
    <w:p>
      <w:pPr>
        <w:pStyle w:val="369"/>
        <w:ind w:firstLine="480"/>
        <w:snapToGrid w:val="1"/>
        <w:spacing w:lineRule="auto" w:line="360"/>
        <w:rPr>
          <w:rFonts w:ascii="宋体" w:hAnsi="宋体"/>
          <w:bCs/>
          <w:sz w:val="24"/>
        </w:rPr>
      </w:pPr>
      <w:r>
        <w:rPr>
          <w:rFonts w:ascii="宋体" w:hAnsi="宋体"/>
          <w:bCs/>
          <w:sz w:val="24"/>
        </w:rPr>
        <w:t xml:space="preserve">在现场开会的方式下，首先由大会主持人按照下列第七条规定程序确定和公布监票人，然后由大会主持人宣读提案，经讨论后进行表决，并形成大</w:t>
      </w:r>
      <w:r>
        <w:rPr>
          <w:rFonts w:ascii="宋体" w:hAnsi="宋体"/>
          <w:bCs/>
          <w:sz w:val="24"/>
        </w:rPr>
        <w:t xml:space="preserve">会决议。大会主持人为管理人授权出席会议的代表，在管理人授</w:t>
      </w:r>
      <w:r>
        <w:rPr>
          <w:rFonts w:ascii="宋体" w:hAnsi="宋体"/>
          <w:bCs/>
          <w:sz w:val="24"/>
        </w:rPr>
        <w:t xml:space="preserve">权代表未能主持大会的情况下，由托管人授权其出席会议的代表主持；如果管理人授权代表和托管人授权代表均未能主持大会，则由出席大会的</w:t>
      </w:r>
      <w:r>
        <w:rPr>
          <w:rFonts w:ascii="宋体" w:hAnsi="宋体"/>
          <w:bCs/>
          <w:sz w:val="24"/>
        </w:rPr>
        <w:t xml:space="preserve">集合计划</w:t>
      </w:r>
      <w:r>
        <w:rPr>
          <w:rFonts w:ascii="宋体" w:hAnsi="宋体"/>
          <w:bCs/>
          <w:sz w:val="24"/>
        </w:rPr>
        <w:t xml:space="preserve">份额持有人和代理人所持表决权的</w:t>
      </w:r>
      <w:r>
        <w:rPr>
          <w:rFonts w:ascii="宋体" w:hAnsi="宋体"/>
          <w:bCs/>
          <w:sz w:val="24"/>
        </w:rPr>
        <w:t xml:space="preserve">50%</w:t>
      </w:r>
      <w:r>
        <w:rPr>
          <w:rFonts w:ascii="宋体" w:hAnsi="宋体"/>
          <w:bCs/>
          <w:sz w:val="24"/>
        </w:rPr>
        <w:t xml:space="preserve">以上（含</w:t>
      </w:r>
      <w:r>
        <w:rPr>
          <w:rFonts w:ascii="宋体" w:hAnsi="宋体"/>
          <w:bCs/>
          <w:sz w:val="24"/>
        </w:rPr>
        <w:t xml:space="preserve">50%</w:t>
      </w:r>
      <w:r>
        <w:rPr>
          <w:rFonts w:ascii="宋体" w:hAnsi="宋体"/>
          <w:bCs/>
          <w:sz w:val="24"/>
        </w:rPr>
        <w:t xml:space="preserve">）选举产生一名</w:t>
      </w:r>
      <w:r>
        <w:rPr>
          <w:rFonts w:ascii="宋体" w:hAnsi="宋体"/>
          <w:bCs/>
          <w:sz w:val="24"/>
        </w:rPr>
        <w:t xml:space="preserve">集合计划</w:t>
      </w:r>
      <w:r>
        <w:rPr>
          <w:rFonts w:ascii="宋体" w:hAnsi="宋体"/>
          <w:bCs/>
          <w:sz w:val="24"/>
        </w:rPr>
        <w:t xml:space="preserve">份额持有人作为该次</w:t>
      </w:r>
      <w:r>
        <w:rPr>
          <w:rFonts w:ascii="宋体" w:hAnsi="宋体"/>
          <w:bCs/>
          <w:sz w:val="24"/>
        </w:rPr>
        <w:t xml:space="preserve">集合计划</w:t>
      </w:r>
      <w:r>
        <w:rPr>
          <w:rFonts w:ascii="宋体" w:hAnsi="宋体"/>
          <w:bCs/>
          <w:sz w:val="24"/>
        </w:rPr>
        <w:t xml:space="preserve">份额持有人大会的主持人。管理人和托管人拒不出席或主持</w:t>
      </w:r>
      <w:r>
        <w:rPr>
          <w:rFonts w:ascii="宋体" w:hAnsi="宋体"/>
          <w:bCs/>
          <w:sz w:val="24"/>
        </w:rPr>
        <w:t xml:space="preserve">集合计划</w:t>
      </w:r>
      <w:r>
        <w:rPr>
          <w:rFonts w:ascii="宋体" w:hAnsi="宋体"/>
          <w:bCs/>
          <w:sz w:val="24"/>
        </w:rPr>
        <w:t xml:space="preserve">份额持有人大会，不影响</w:t>
      </w:r>
      <w:r>
        <w:rPr>
          <w:rFonts w:ascii="宋体" w:hAnsi="宋体"/>
          <w:bCs/>
          <w:sz w:val="24"/>
        </w:rPr>
        <w:t xml:space="preserve">集合计划</w:t>
      </w:r>
      <w:r>
        <w:rPr>
          <w:rFonts w:ascii="宋体" w:hAnsi="宋体"/>
          <w:bCs/>
          <w:sz w:val="24"/>
        </w:rPr>
        <w:t xml:space="preserve">份额持有人大会作出的决议的效力。</w:t>
      </w:r>
      <w:r/>
    </w:p>
    <w:p>
      <w:pPr>
        <w:pStyle w:val="369"/>
        <w:ind w:firstLine="480"/>
        <w:snapToGrid w:val="1"/>
        <w:spacing w:lineRule="auto" w:line="360"/>
        <w:rPr>
          <w:rFonts w:ascii="宋体" w:hAnsi="宋体"/>
          <w:bCs/>
          <w:sz w:val="24"/>
        </w:rPr>
      </w:pPr>
      <w:r>
        <w:rPr>
          <w:rFonts w:ascii="宋体" w:hAnsi="宋体"/>
          <w:bCs/>
          <w:sz w:val="24"/>
        </w:rPr>
        <w:t xml:space="preserve">会议召集人应当制作出席会议人员的签名册。签名册载明参加会议人员姓名（或单位名称）、身份证明文件号码、</w:t>
      </w:r>
      <w:r>
        <w:rPr>
          <w:rFonts w:ascii="宋体" w:hAnsi="宋体"/>
          <w:bCs/>
          <w:sz w:val="24"/>
        </w:rPr>
        <w:t xml:space="preserve">持有或代表有表决权的</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委托人</w:t>
      </w:r>
      <w:r>
        <w:rPr>
          <w:rFonts w:ascii="宋体" w:hAnsi="宋体"/>
          <w:bCs/>
          <w:sz w:val="24"/>
        </w:rPr>
        <w:t xml:space="preserve">姓名（或单位名称）和联系方式等事项。</w:t>
      </w:r>
      <w:r/>
    </w:p>
    <w:p>
      <w:pPr>
        <w:pStyle w:val="369"/>
        <w:ind w:firstLine="480"/>
        <w:snapToGrid w:val="1"/>
        <w:spacing w:lineRule="auto" w:line="360"/>
        <w:rPr>
          <w:rFonts w:ascii="宋体" w:hAnsi="宋体"/>
          <w:bCs/>
          <w:sz w:val="24"/>
        </w:rPr>
      </w:pPr>
      <w:r>
        <w:rPr>
          <w:rFonts w:ascii="宋体" w:hAnsi="宋体"/>
          <w:bCs/>
          <w:sz w:val="24"/>
        </w:rPr>
        <w:t xml:space="preserve">（2）通讯开会</w:t>
      </w:r>
      <w:r/>
    </w:p>
    <w:p>
      <w:pPr>
        <w:pStyle w:val="369"/>
        <w:ind w:firstLine="480"/>
        <w:snapToGrid w:val="1"/>
        <w:spacing w:lineRule="auto" w:line="360"/>
        <w:rPr>
          <w:rFonts w:ascii="宋体" w:hAnsi="宋体"/>
          <w:bCs/>
          <w:sz w:val="24"/>
        </w:rPr>
      </w:pPr>
      <w:r>
        <w:rPr>
          <w:rFonts w:ascii="宋体" w:hAnsi="宋体"/>
          <w:bCs/>
          <w:sz w:val="24"/>
        </w:rPr>
        <w:t xml:space="preserve">在通讯开会的情况下，首先由召集人提前</w:t>
      </w:r>
      <w:r>
        <w:rPr>
          <w:rFonts w:ascii="宋体" w:hAnsi="宋体"/>
          <w:bCs/>
          <w:sz w:val="24"/>
        </w:rPr>
        <w:t xml:space="preserve">30</w:t>
      </w:r>
      <w:r>
        <w:rPr>
          <w:rFonts w:ascii="宋体" w:hAnsi="宋体"/>
          <w:bCs/>
          <w:sz w:val="24"/>
        </w:rPr>
        <w:t xml:space="preserve">日公布提案，在所通知的表决截止日期后</w:t>
      </w:r>
      <w:r>
        <w:rPr>
          <w:rFonts w:ascii="宋体" w:hAnsi="宋体"/>
          <w:bCs/>
          <w:sz w:val="24"/>
        </w:rPr>
        <w:t xml:space="preserve">2</w:t>
      </w:r>
      <w:r>
        <w:rPr>
          <w:rFonts w:ascii="宋体" w:hAnsi="宋体"/>
          <w:bCs/>
          <w:sz w:val="24"/>
        </w:rPr>
        <w:t xml:space="preserve">个工作日内在公证机关监督下由召集人统计全部有效表决，在公证机关监督下形成决议。</w:t>
      </w:r>
      <w:r/>
    </w:p>
    <w:p>
      <w:pPr>
        <w:pStyle w:val="369"/>
        <w:ind w:firstLine="480"/>
        <w:snapToGrid w:val="1"/>
        <w:spacing w:lineRule="auto" w:line="360"/>
        <w:rPr>
          <w:rFonts w:ascii="宋体" w:hAnsi="宋体"/>
          <w:bCs/>
          <w:sz w:val="24"/>
        </w:rPr>
      </w:pPr>
      <w:r/>
      <w:bookmarkStart w:id="185" w:name="_Toc15641225"/>
      <w:r/>
      <w:bookmarkStart w:id="186" w:name="_Toc79392589"/>
      <w:r/>
      <w:bookmarkStart w:id="187" w:name="_Toc57530248"/>
      <w:r>
        <w:rPr>
          <w:rFonts w:ascii="宋体" w:hAnsi="宋体"/>
          <w:bCs/>
          <w:sz w:val="24"/>
        </w:rPr>
        <w:t xml:space="preserve">六、表决</w:t>
      </w:r>
      <w:bookmarkEnd w:id="185"/>
      <w:r/>
      <w:bookmarkEnd w:id="186"/>
      <w:r/>
      <w:bookmarkEnd w:id="187"/>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份额持有人所持每份</w:t>
      </w:r>
      <w:r>
        <w:rPr>
          <w:rFonts w:ascii="宋体" w:hAnsi="宋体"/>
          <w:bCs/>
          <w:sz w:val="24"/>
        </w:rPr>
        <w:t xml:space="preserve">集合计划</w:t>
      </w:r>
      <w:r>
        <w:rPr>
          <w:rFonts w:ascii="宋体" w:hAnsi="宋体"/>
          <w:bCs/>
          <w:sz w:val="24"/>
        </w:rPr>
        <w:t xml:space="preserve">份额有一票表决权。</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份额持有人大会决议分为一般决议和特别决议：</w:t>
      </w:r>
      <w:r/>
    </w:p>
    <w:p>
      <w:pPr>
        <w:pStyle w:val="369"/>
        <w:ind w:firstLine="480"/>
        <w:snapToGrid w:val="1"/>
        <w:spacing w:lineRule="auto" w:line="360"/>
        <w:rPr>
          <w:rFonts w:ascii="宋体" w:hAnsi="宋体"/>
          <w:bCs/>
          <w:sz w:val="24"/>
        </w:rPr>
      </w:pPr>
      <w:r>
        <w:rPr>
          <w:rFonts w:ascii="宋体" w:hAnsi="宋体"/>
          <w:bCs/>
          <w:sz w:val="24"/>
        </w:rPr>
        <w:t xml:space="preserve">1、一般决议，一般决议须经参加大会的</w:t>
      </w:r>
      <w:r>
        <w:rPr>
          <w:rFonts w:ascii="宋体" w:hAnsi="宋体"/>
          <w:bCs/>
          <w:sz w:val="24"/>
        </w:rPr>
        <w:t xml:space="preserve">集合计划</w:t>
      </w:r>
      <w:r>
        <w:rPr>
          <w:rFonts w:ascii="宋体" w:hAnsi="宋体"/>
          <w:bCs/>
          <w:sz w:val="24"/>
        </w:rPr>
        <w:t xml:space="preserve">份额持有人或其代理人所持表决权的二分之一以上（含二分之一）通过方为有效；除下列第2项所规定的须以特别</w:t>
      </w:r>
      <w:r>
        <w:rPr>
          <w:rFonts w:ascii="宋体" w:hAnsi="宋体"/>
          <w:bCs/>
          <w:sz w:val="24"/>
        </w:rPr>
        <w:t xml:space="preserve">决议通过事项以外的其他事项均以一般决议的方式通过。</w:t>
      </w:r>
      <w:r/>
    </w:p>
    <w:p>
      <w:pPr>
        <w:pStyle w:val="369"/>
        <w:ind w:firstLine="480"/>
        <w:snapToGrid w:val="1"/>
        <w:spacing w:lineRule="auto" w:line="360"/>
        <w:rPr>
          <w:rFonts w:ascii="宋体" w:hAnsi="宋体"/>
          <w:bCs/>
          <w:sz w:val="24"/>
        </w:rPr>
      </w:pPr>
      <w:r>
        <w:rPr>
          <w:rFonts w:ascii="宋体" w:hAnsi="宋体"/>
          <w:bCs/>
          <w:sz w:val="24"/>
        </w:rPr>
        <w:t xml:space="preserve">2、特别决议，特别决议应当经参加大会的</w:t>
      </w:r>
      <w:r>
        <w:rPr>
          <w:rFonts w:ascii="宋体" w:hAnsi="宋体"/>
          <w:bCs/>
          <w:sz w:val="24"/>
        </w:rPr>
        <w:t xml:space="preserve">集合计划</w:t>
      </w:r>
      <w:r>
        <w:rPr>
          <w:rFonts w:ascii="宋体" w:hAnsi="宋体"/>
          <w:bCs/>
          <w:sz w:val="24"/>
        </w:rPr>
        <w:t xml:space="preserve">份额持有人或其代理人所持表决权</w:t>
      </w:r>
      <w:r>
        <w:rPr>
          <w:rFonts w:ascii="宋体" w:hAnsi="宋体"/>
          <w:bCs/>
          <w:sz w:val="24"/>
          <w:szCs w:val="24"/>
        </w:rPr>
        <w:t xml:space="preserve">的</w:t>
      </w:r>
      <w:r>
        <w:rPr>
          <w:rFonts w:ascii="宋体" w:hAnsi="宋体"/>
          <w:sz w:val="24"/>
          <w:szCs w:val="24"/>
        </w:rPr>
        <w:t xml:space="preserve">三分之二</w:t>
      </w:r>
      <w:r>
        <w:rPr>
          <w:rFonts w:ascii="宋体" w:hAnsi="宋体"/>
          <w:sz w:val="24"/>
          <w:szCs w:val="24"/>
        </w:rPr>
        <w:t xml:space="preserve">以上（含</w:t>
      </w:r>
      <w:r>
        <w:rPr>
          <w:rFonts w:ascii="宋体" w:hAnsi="宋体"/>
          <w:sz w:val="24"/>
          <w:szCs w:val="24"/>
        </w:rPr>
        <w:t xml:space="preserve">三分之二</w:t>
      </w:r>
      <w:r>
        <w:rPr>
          <w:rFonts w:ascii="宋体" w:hAnsi="宋体"/>
          <w:sz w:val="24"/>
          <w:szCs w:val="24"/>
        </w:rPr>
        <w:t xml:space="preserve">）通</w:t>
      </w:r>
      <w:r>
        <w:rPr>
          <w:rFonts w:ascii="宋体" w:hAnsi="宋体"/>
          <w:sz w:val="24"/>
        </w:rPr>
        <w:t xml:space="preserve">过方可做出。</w:t>
      </w:r>
      <w:r>
        <w:rPr>
          <w:rFonts w:ascii="宋体" w:hAnsi="宋体"/>
          <w:sz w:val="24"/>
        </w:rPr>
        <w:t xml:space="preserve">除本合同另有约定外，</w:t>
      </w:r>
      <w:r>
        <w:rPr>
          <w:rFonts w:ascii="宋体" w:hAnsi="宋体"/>
          <w:sz w:val="24"/>
        </w:rPr>
        <w:t xml:space="preserve">转换</w:t>
      </w:r>
      <w:r>
        <w:rPr>
          <w:rFonts w:ascii="宋体" w:hAnsi="宋体"/>
          <w:bCs/>
          <w:sz w:val="24"/>
        </w:rPr>
        <w:t xml:space="preserve">集合计划</w:t>
      </w:r>
      <w:r>
        <w:rPr>
          <w:rFonts w:ascii="宋体" w:hAnsi="宋体"/>
          <w:sz w:val="24"/>
        </w:rPr>
        <w:t xml:space="preserve">运作方式、更换管理人或者托管人、终止《集合计划合同》、本集合计划与其他</w:t>
      </w:r>
      <w:r>
        <w:rPr>
          <w:rFonts w:ascii="宋体" w:hAnsi="宋体"/>
          <w:bCs/>
          <w:sz w:val="24"/>
        </w:rPr>
        <w:t xml:space="preserve">集合资产管理计划</w:t>
      </w:r>
      <w:r>
        <w:rPr>
          <w:rFonts w:ascii="宋体" w:hAnsi="宋体"/>
          <w:sz w:val="24"/>
        </w:rPr>
        <w:t xml:space="preserve">合并</w:t>
      </w:r>
      <w:r>
        <w:rPr>
          <w:rFonts w:ascii="宋体" w:hAnsi="宋体"/>
          <w:bCs/>
          <w:sz w:val="24"/>
        </w:rPr>
        <w:t xml:space="preserve">以特别决议通过方为有效。</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份额持有人大会采取记名方式进行投票表决。</w:t>
      </w:r>
      <w:r/>
    </w:p>
    <w:p>
      <w:pPr>
        <w:pStyle w:val="369"/>
        <w:ind w:firstLine="480"/>
        <w:snapToGrid w:val="1"/>
        <w:spacing w:lineRule="auto" w:line="360"/>
        <w:rPr>
          <w:rFonts w:ascii="宋体" w:hAnsi="宋体"/>
          <w:bCs/>
          <w:sz w:val="24"/>
        </w:rPr>
      </w:pPr>
      <w:r>
        <w:rPr>
          <w:rFonts w:ascii="宋体" w:hAnsi="宋体"/>
          <w:bCs/>
          <w:sz w:val="24"/>
        </w:rPr>
        <w:t xml:space="preserve">采取通讯方式进行表决时，除非在计票时有充分的相反证据证明，否则提交符合会议通知中规定的确认投资者身份文件的表决视为有效出席的投资者，表面符合会议</w:t>
      </w:r>
      <w:r>
        <w:rPr>
          <w:rFonts w:ascii="宋体" w:hAnsi="宋体"/>
          <w:bCs/>
          <w:sz w:val="24"/>
        </w:rPr>
        <w:t xml:space="preserve">通知规定的书面表决意见视为有效表决，表决意见模糊不清或相</w:t>
      </w:r>
      <w:r>
        <w:rPr>
          <w:rFonts w:ascii="宋体" w:hAnsi="宋体"/>
          <w:bCs/>
          <w:sz w:val="24"/>
        </w:rPr>
        <w:t xml:space="preserve">互矛盾的视为弃权表决，但应当计入出具</w:t>
      </w:r>
      <w:r>
        <w:rPr>
          <w:rFonts w:ascii="宋体" w:hAnsi="宋体"/>
          <w:bCs/>
          <w:sz w:val="24"/>
        </w:rPr>
        <w:t xml:space="preserve">书面</w:t>
      </w:r>
      <w:r>
        <w:rPr>
          <w:rFonts w:ascii="宋体" w:hAnsi="宋体"/>
          <w:bCs/>
          <w:sz w:val="24"/>
        </w:rPr>
        <w:t xml:space="preserve">意见的</w:t>
      </w:r>
      <w:r>
        <w:rPr>
          <w:rFonts w:ascii="宋体" w:hAnsi="宋体"/>
          <w:bCs/>
          <w:sz w:val="24"/>
        </w:rPr>
        <w:t xml:space="preserve">集合计划</w:t>
      </w:r>
      <w:r>
        <w:rPr>
          <w:rFonts w:ascii="宋体" w:hAnsi="宋体"/>
          <w:bCs/>
          <w:sz w:val="24"/>
        </w:rPr>
        <w:t xml:space="preserve">份额持有人所代表的</w:t>
      </w:r>
      <w:r>
        <w:rPr>
          <w:rFonts w:ascii="宋体" w:hAnsi="宋体"/>
          <w:bCs/>
          <w:sz w:val="24"/>
        </w:rPr>
        <w:t xml:space="preserve">集合计划</w:t>
      </w:r>
      <w:r>
        <w:rPr>
          <w:rFonts w:ascii="宋体" w:hAnsi="宋体"/>
          <w:bCs/>
          <w:sz w:val="24"/>
        </w:rPr>
        <w:t xml:space="preserve">份额总数。</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份额持有人大会的各项提案或同一项提案内并列的各项议题应当分开审议、逐项表决。</w:t>
      </w:r>
      <w:r/>
    </w:p>
    <w:p>
      <w:pPr>
        <w:pStyle w:val="369"/>
        <w:ind w:firstLine="480"/>
        <w:snapToGrid w:val="1"/>
        <w:spacing w:lineRule="auto" w:line="360"/>
        <w:rPr>
          <w:rFonts w:ascii="宋体" w:hAnsi="宋体"/>
          <w:bCs/>
          <w:sz w:val="24"/>
        </w:rPr>
      </w:pPr>
      <w:r/>
      <w:bookmarkStart w:id="188" w:name="_Toc15641226"/>
      <w:r/>
      <w:bookmarkStart w:id="189" w:name="_Toc57530249"/>
      <w:r/>
      <w:bookmarkStart w:id="190" w:name="_Toc79392590"/>
      <w:r>
        <w:rPr>
          <w:rFonts w:ascii="宋体" w:hAnsi="宋体"/>
          <w:bCs/>
          <w:sz w:val="24"/>
        </w:rPr>
        <w:t xml:space="preserve">七、计票</w:t>
      </w:r>
      <w:bookmarkEnd w:id="188"/>
      <w:r/>
      <w:bookmarkEnd w:id="189"/>
      <w:r/>
      <w:bookmarkEnd w:id="190"/>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1、现场开会</w:t>
      </w:r>
      <w:r/>
    </w:p>
    <w:p>
      <w:pPr>
        <w:pStyle w:val="369"/>
        <w:ind w:firstLine="480"/>
        <w:snapToGrid w:val="1"/>
        <w:spacing w:lineRule="auto" w:line="360"/>
        <w:rPr>
          <w:rFonts w:ascii="宋体" w:hAnsi="宋体"/>
          <w:bCs/>
          <w:sz w:val="24"/>
        </w:rPr>
      </w:pPr>
      <w:r>
        <w:rPr>
          <w:rFonts w:ascii="宋体" w:hAnsi="宋体"/>
          <w:bCs/>
          <w:sz w:val="24"/>
        </w:rPr>
        <w:t xml:space="preserve">（1）如大会由管理人或托管人召集，</w:t>
      </w:r>
      <w:r>
        <w:rPr>
          <w:rFonts w:ascii="宋体" w:hAnsi="宋体"/>
          <w:bCs/>
          <w:sz w:val="24"/>
        </w:rPr>
        <w:t xml:space="preserve">集合计划</w:t>
      </w:r>
      <w:r>
        <w:rPr>
          <w:rFonts w:ascii="宋体" w:hAnsi="宋体"/>
          <w:bCs/>
          <w:sz w:val="24"/>
        </w:rPr>
        <w:t xml:space="preserve">份额持有人大会的主持人应当在会议开始后宣布在出席会议的</w:t>
      </w:r>
      <w:r>
        <w:rPr>
          <w:rFonts w:ascii="宋体" w:hAnsi="宋体"/>
          <w:bCs/>
          <w:sz w:val="24"/>
        </w:rPr>
        <w:t xml:space="preserve">集合计划</w:t>
      </w:r>
      <w:r>
        <w:rPr>
          <w:rFonts w:ascii="宋体" w:hAnsi="宋体"/>
          <w:bCs/>
          <w:sz w:val="24"/>
        </w:rPr>
        <w:t xml:space="preserve">份额持有人和代理人中选举两名</w:t>
      </w:r>
      <w:r>
        <w:rPr>
          <w:rFonts w:ascii="宋体" w:hAnsi="宋体"/>
          <w:bCs/>
          <w:sz w:val="24"/>
        </w:rPr>
        <w:t xml:space="preserve">集合计划</w:t>
      </w:r>
      <w:r>
        <w:rPr>
          <w:rFonts w:ascii="宋体" w:hAnsi="宋体"/>
          <w:bCs/>
          <w:sz w:val="24"/>
        </w:rPr>
        <w:t xml:space="preserve">份额持有人代表与大会召集人授权的一名监督员共同担任监票人；如大会由</w:t>
      </w:r>
      <w:r>
        <w:rPr>
          <w:rFonts w:ascii="宋体" w:hAnsi="宋体"/>
          <w:bCs/>
          <w:sz w:val="24"/>
        </w:rPr>
        <w:t xml:space="preserve">集合计划</w:t>
      </w:r>
      <w:r>
        <w:rPr>
          <w:rFonts w:ascii="宋体" w:hAnsi="宋体"/>
          <w:bCs/>
          <w:sz w:val="24"/>
        </w:rPr>
        <w:t xml:space="preserve">份额持有人自行召集或大会虽然由管理人或托</w:t>
      </w:r>
      <w:r>
        <w:rPr>
          <w:rFonts w:ascii="宋体" w:hAnsi="宋体"/>
          <w:bCs/>
          <w:sz w:val="24"/>
        </w:rPr>
        <w:t xml:space="preserve">管人召集，但是管理人或托管人未出席大会的，</w:t>
      </w:r>
      <w:r>
        <w:rPr>
          <w:rFonts w:ascii="宋体" w:hAnsi="宋体"/>
          <w:bCs/>
          <w:sz w:val="24"/>
        </w:rPr>
        <w:t xml:space="preserve">集合计划</w:t>
      </w:r>
      <w:r>
        <w:rPr>
          <w:rFonts w:ascii="宋体" w:hAnsi="宋体"/>
          <w:bCs/>
          <w:sz w:val="24"/>
        </w:rPr>
        <w:t xml:space="preserve">份额持有人大会的主持人应当在会议开始后宣布在出席会议的</w:t>
      </w:r>
      <w:r>
        <w:rPr>
          <w:rFonts w:ascii="宋体" w:hAnsi="宋体"/>
          <w:bCs/>
          <w:sz w:val="24"/>
        </w:rPr>
        <w:t xml:space="preserve">集合计划</w:t>
      </w:r>
      <w:r>
        <w:rPr>
          <w:rFonts w:ascii="宋体" w:hAnsi="宋体"/>
          <w:bCs/>
          <w:sz w:val="24"/>
        </w:rPr>
        <w:t xml:space="preserve">份额持有人中选举三名</w:t>
      </w:r>
      <w:r>
        <w:rPr>
          <w:rFonts w:ascii="宋体" w:hAnsi="宋体"/>
          <w:bCs/>
          <w:sz w:val="24"/>
        </w:rPr>
        <w:t xml:space="preserve">集合计划</w:t>
      </w:r>
      <w:r>
        <w:rPr>
          <w:rFonts w:ascii="宋体" w:hAnsi="宋体"/>
          <w:bCs/>
          <w:sz w:val="24"/>
        </w:rPr>
        <w:t xml:space="preserve">份额持有人代表担任监票人。管理人或托管人不出席大会的，不影响计票的效力。</w:t>
      </w:r>
      <w:r/>
    </w:p>
    <w:p>
      <w:pPr>
        <w:pStyle w:val="369"/>
        <w:ind w:firstLine="480"/>
        <w:snapToGrid w:val="1"/>
        <w:spacing w:lineRule="auto" w:line="360"/>
        <w:rPr>
          <w:rFonts w:ascii="宋体" w:hAnsi="宋体"/>
          <w:bCs/>
          <w:sz w:val="24"/>
        </w:rPr>
      </w:pPr>
      <w:r>
        <w:rPr>
          <w:rFonts w:ascii="宋体" w:hAnsi="宋体"/>
          <w:bCs/>
          <w:sz w:val="24"/>
        </w:rPr>
        <w:t xml:space="preserve">（2）监票人应当在</w:t>
      </w:r>
      <w:r>
        <w:rPr>
          <w:rFonts w:ascii="宋体" w:hAnsi="宋体"/>
          <w:bCs/>
          <w:sz w:val="24"/>
        </w:rPr>
        <w:t xml:space="preserve">集合计划</w:t>
      </w:r>
      <w:r>
        <w:rPr>
          <w:rFonts w:ascii="宋体" w:hAnsi="宋体"/>
          <w:bCs/>
          <w:sz w:val="24"/>
        </w:rPr>
        <w:t xml:space="preserve">份额持有人表决后立即进行清点并由大会主持人当场公布计票结果。</w:t>
      </w:r>
      <w:r/>
    </w:p>
    <w:p>
      <w:pPr>
        <w:pStyle w:val="369"/>
        <w:ind w:firstLine="480"/>
        <w:snapToGrid w:val="1"/>
        <w:spacing w:lineRule="auto" w:line="360"/>
        <w:rPr>
          <w:rFonts w:ascii="宋体" w:hAnsi="宋体"/>
          <w:bCs/>
          <w:sz w:val="24"/>
        </w:rPr>
      </w:pPr>
      <w:r>
        <w:rPr>
          <w:rFonts w:ascii="宋体" w:hAnsi="宋体"/>
          <w:bCs/>
          <w:sz w:val="24"/>
        </w:rPr>
        <w:t xml:space="preserve">（3）如果会议主持人或</w:t>
      </w:r>
      <w:r>
        <w:rPr>
          <w:rFonts w:ascii="宋体" w:hAnsi="宋体"/>
          <w:bCs/>
          <w:sz w:val="24"/>
        </w:rPr>
        <w:t xml:space="preserve">集合计划</w:t>
      </w:r>
      <w:r>
        <w:rPr>
          <w:rFonts w:ascii="宋体" w:hAnsi="宋体"/>
          <w:bCs/>
          <w:sz w:val="24"/>
        </w:rPr>
        <w:t xml:space="preserve">份额持有人或代理人对于提交的表决结果有怀疑，可以在宣布表决结果后立即对所投票数要求进行重新清点。监票人应当进行重新清点，重新清点以一次为限。重新清点后，大会主持人应当当场公布重新清</w:t>
      </w:r>
      <w:r>
        <w:rPr>
          <w:rFonts w:ascii="宋体" w:hAnsi="宋体"/>
          <w:bCs/>
          <w:sz w:val="24"/>
        </w:rPr>
        <w:t xml:space="preserve">点结果。</w:t>
      </w:r>
      <w:r/>
    </w:p>
    <w:p>
      <w:pPr>
        <w:pStyle w:val="369"/>
        <w:ind w:firstLine="480"/>
        <w:snapToGrid w:val="1"/>
        <w:spacing w:lineRule="auto" w:line="360"/>
        <w:rPr>
          <w:rFonts w:ascii="宋体" w:hAnsi="宋体"/>
          <w:bCs/>
          <w:sz w:val="24"/>
        </w:rPr>
      </w:pPr>
      <w:r>
        <w:rPr>
          <w:rFonts w:ascii="宋体" w:hAnsi="宋体"/>
          <w:bCs/>
          <w:sz w:val="24"/>
        </w:rPr>
        <w:t xml:space="preserve">（4）计票过程应由公证机关予以公证</w:t>
      </w:r>
      <w:r>
        <w:rPr>
          <w:rFonts w:ascii="宋体" w:hAnsi="宋体"/>
          <w:bCs/>
          <w:sz w:val="24"/>
        </w:rPr>
        <w:t xml:space="preserve">，</w:t>
      </w:r>
      <w:r>
        <w:rPr>
          <w:rFonts w:ascii="宋体" w:hAnsi="宋体"/>
          <w:bCs/>
          <w:sz w:val="24"/>
        </w:rPr>
        <w:t xml:space="preserve">管理人或托管人拒不出席大会的，不影响计票的效力。</w:t>
      </w:r>
      <w:r/>
    </w:p>
    <w:p>
      <w:pPr>
        <w:pStyle w:val="369"/>
        <w:ind w:firstLine="480"/>
        <w:snapToGrid w:val="1"/>
        <w:spacing w:lineRule="auto" w:line="360"/>
        <w:rPr>
          <w:rFonts w:ascii="宋体" w:hAnsi="宋体"/>
          <w:bCs/>
          <w:sz w:val="24"/>
        </w:rPr>
      </w:pPr>
      <w:r>
        <w:rPr>
          <w:rFonts w:ascii="宋体" w:hAnsi="宋体"/>
          <w:bCs/>
          <w:sz w:val="24"/>
        </w:rPr>
        <w:t xml:space="preserve">2、通讯开会</w:t>
      </w:r>
      <w:r/>
    </w:p>
    <w:p>
      <w:pPr>
        <w:pStyle w:val="369"/>
        <w:ind w:firstLine="480"/>
        <w:snapToGrid w:val="1"/>
        <w:spacing w:lineRule="auto" w:line="360"/>
        <w:rPr>
          <w:rFonts w:ascii="宋体" w:hAnsi="宋体"/>
          <w:bCs/>
          <w:sz w:val="24"/>
        </w:rPr>
      </w:pPr>
      <w:r>
        <w:rPr>
          <w:rFonts w:ascii="宋体" w:hAnsi="宋体"/>
          <w:bCs/>
          <w:sz w:val="24"/>
        </w:rPr>
        <w:t xml:space="preserve">在通讯开会的情况下，计票方式为：由大会召集人授权的两名监督员在托管人授权代表（若由托管人召集，则为管理人授权代表）的监督下进行计票，并由公证机关对其计票过程予以公证</w:t>
      </w:r>
      <w:bookmarkStart w:id="191" w:name="_Toc79392591"/>
      <w:r/>
      <w:bookmarkStart w:id="192" w:name="_Toc57530250"/>
      <w:r/>
      <w:bookmarkStart w:id="193" w:name="_Toc15641227"/>
      <w:r>
        <w:rPr>
          <w:rFonts w:ascii="宋体" w:hAnsi="宋体"/>
          <w:bCs/>
          <w:sz w:val="24"/>
        </w:rPr>
        <w:t xml:space="preserve">。管理人或托管人拒派代表对书面表决意见的计票进行监督的，不影响计票和表决结果。</w:t>
      </w:r>
      <w:r/>
    </w:p>
    <w:p>
      <w:pPr>
        <w:pStyle w:val="369"/>
        <w:ind w:firstLine="480"/>
        <w:snapToGrid w:val="1"/>
        <w:spacing w:lineRule="auto" w:line="360"/>
        <w:rPr>
          <w:rFonts w:ascii="宋体" w:hAnsi="宋体"/>
          <w:bCs/>
          <w:sz w:val="24"/>
        </w:rPr>
      </w:pPr>
      <w:r>
        <w:rPr>
          <w:rFonts w:ascii="宋体" w:hAnsi="宋体"/>
          <w:bCs/>
          <w:sz w:val="24"/>
        </w:rPr>
        <w:t xml:space="preserve">八、生效与公告</w:t>
      </w:r>
      <w:bookmarkEnd w:id="191"/>
      <w:r/>
      <w:bookmarkEnd w:id="192"/>
      <w:r/>
      <w:bookmarkEnd w:id="193"/>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份额持有人大会的决议，召集人应当自通过之日起</w:t>
      </w:r>
      <w:r>
        <w:rPr>
          <w:rFonts w:ascii="宋体" w:hAnsi="宋体"/>
          <w:bCs/>
          <w:sz w:val="24"/>
        </w:rPr>
        <w:t xml:space="preserve">5</w:t>
      </w:r>
      <w:r>
        <w:rPr>
          <w:rFonts w:ascii="宋体" w:hAnsi="宋体"/>
          <w:bCs/>
          <w:sz w:val="24"/>
        </w:rPr>
        <w:t xml:space="preserve">日内报中国证监会备案。</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份额持有人大会的决议自表决通过之日起生效。</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w:t>
      </w:r>
      <w:r>
        <w:rPr>
          <w:rFonts w:ascii="宋体" w:hAnsi="宋体"/>
          <w:bCs/>
          <w:sz w:val="24"/>
        </w:rPr>
        <w:t xml:space="preserve">持有人大会决议自生效之日起</w:t>
      </w:r>
      <w:r>
        <w:rPr>
          <w:rFonts w:ascii="宋体" w:hAnsi="宋体"/>
          <w:bCs/>
          <w:sz w:val="24"/>
        </w:rPr>
        <w:t xml:space="preserve">2</w:t>
      </w:r>
      <w:r>
        <w:rPr>
          <w:rFonts w:ascii="宋体" w:hAnsi="宋体"/>
          <w:bCs/>
          <w:sz w:val="24"/>
        </w:rPr>
        <w:t xml:space="preserve">日内在</w:t>
      </w:r>
      <w:r>
        <w:rPr>
          <w:rFonts w:ascii="宋体" w:hAnsi="宋体"/>
          <w:bCs/>
          <w:sz w:val="24"/>
        </w:rPr>
        <w:t xml:space="preserve">规定媒介</w:t>
      </w:r>
      <w:r>
        <w:rPr>
          <w:rFonts w:ascii="宋体" w:hAnsi="宋体"/>
          <w:bCs/>
          <w:sz w:val="24"/>
        </w:rPr>
        <w:t xml:space="preserve">上公告。</w:t>
      </w:r>
      <w:bookmarkStart w:id="194" w:name="_Hlt88820702"/>
      <w:r/>
      <w:bookmarkEnd w:id="194"/>
      <w:r>
        <w:rPr>
          <w:rFonts w:ascii="宋体" w:hAnsi="宋体"/>
          <w:bCs/>
          <w:sz w:val="24"/>
        </w:rPr>
        <w:t xml:space="preserve">如果采用通讯方式进行表决，在公告</w:t>
      </w:r>
      <w:r>
        <w:rPr>
          <w:rFonts w:ascii="宋体" w:hAnsi="宋体"/>
          <w:bCs/>
          <w:sz w:val="24"/>
        </w:rPr>
        <w:t xml:space="preserve">集合计划</w:t>
      </w:r>
      <w:r>
        <w:rPr>
          <w:rFonts w:ascii="宋体" w:hAnsi="宋体"/>
          <w:bCs/>
          <w:sz w:val="24"/>
        </w:rPr>
        <w:t xml:space="preserve">份额持有人大会决议时，必须将公证书全文、公证机构、公证员姓名等一同公告。</w:t>
      </w:r>
      <w:r/>
    </w:p>
    <w:p>
      <w:pPr>
        <w:pStyle w:val="369"/>
        <w:ind w:firstLine="480"/>
        <w:snapToGrid w:val="1"/>
        <w:spacing w:lineRule="auto" w:line="360"/>
        <w:rPr>
          <w:rFonts w:ascii="宋体" w:hAnsi="宋体"/>
          <w:bCs/>
          <w:sz w:val="24"/>
        </w:rPr>
      </w:pPr>
      <w:r>
        <w:rPr>
          <w:rFonts w:ascii="宋体" w:hAnsi="宋体"/>
          <w:bCs/>
          <w:sz w:val="24"/>
        </w:rPr>
        <w:t xml:space="preserve">管理人、托管人和</w:t>
      </w:r>
      <w:r>
        <w:rPr>
          <w:rFonts w:ascii="宋体" w:hAnsi="宋体"/>
          <w:bCs/>
          <w:sz w:val="24"/>
        </w:rPr>
        <w:t xml:space="preserve">集合计划</w:t>
      </w:r>
      <w:r>
        <w:rPr>
          <w:rFonts w:ascii="宋体" w:hAnsi="宋体"/>
          <w:bCs/>
          <w:sz w:val="24"/>
        </w:rPr>
        <w:t xml:space="preserve">份额持有人应当执行生效的</w:t>
      </w:r>
      <w:r>
        <w:rPr>
          <w:rFonts w:ascii="宋体" w:hAnsi="宋体"/>
          <w:bCs/>
          <w:sz w:val="24"/>
        </w:rPr>
        <w:t xml:space="preserve">集合计划</w:t>
      </w:r>
      <w:r>
        <w:rPr>
          <w:rFonts w:ascii="宋体" w:hAnsi="宋体"/>
          <w:bCs/>
          <w:sz w:val="24"/>
        </w:rPr>
        <w:t xml:space="preserve">份额持有人大会的决议。生效的</w:t>
      </w:r>
      <w:r>
        <w:rPr>
          <w:rFonts w:ascii="宋体" w:hAnsi="宋体"/>
          <w:bCs/>
          <w:sz w:val="24"/>
        </w:rPr>
        <w:t xml:space="preserve">集合计划</w:t>
      </w:r>
      <w:r>
        <w:rPr>
          <w:rFonts w:ascii="宋体" w:hAnsi="宋体"/>
          <w:bCs/>
          <w:sz w:val="24"/>
        </w:rPr>
        <w:t xml:space="preserve">份额持有人大会决议对全体</w:t>
      </w:r>
      <w:r>
        <w:rPr>
          <w:rFonts w:ascii="宋体" w:hAnsi="宋体"/>
          <w:bCs/>
          <w:sz w:val="24"/>
        </w:rPr>
        <w:t xml:space="preserve">集合计划</w:t>
      </w:r>
      <w:r>
        <w:rPr>
          <w:rFonts w:ascii="宋体" w:hAnsi="宋体"/>
          <w:bCs/>
          <w:sz w:val="24"/>
        </w:rPr>
        <w:t xml:space="preserve">份额持有人、管理人、托管人均有约束力。</w:t>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九、实施侧袋机制期间集合计划份额持有人大会的特殊约定</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若本集合计划实施侧袋机制，本部分和“管理人、托管人的更换条件和程序”部分约定的以下情形中的相关集合计划份额或表决权的比例均指主袋份</w:t>
      </w:r>
      <w:r>
        <w:rPr>
          <w:rFonts w:ascii="宋体" w:hAnsi="宋体"/>
          <w:bCs/>
          <w:sz w:val="24"/>
        </w:rPr>
        <w:t xml:space="preserve">额持有人和侧袋份额持有人分别持有或代表的集合计划份额或表</w:t>
      </w:r>
      <w:r>
        <w:rPr>
          <w:rFonts w:ascii="宋体" w:hAnsi="宋体"/>
          <w:bCs/>
          <w:sz w:val="24"/>
        </w:rPr>
        <w:t xml:space="preserve">决权符合该等比例，但若相关集合计划份额持有人大会召集和审议事项不涉及侧袋账户的，则仅指主袋份额持有人持有或代表的集合计划份额或表决权符合该等比例：</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1、集合计划份额持有人行使提议权、召集权、提名权所需单独或合计代表相关集合计划份额10%以上（含10%）；</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2、现场开会的到会者在权益登记日代表的集合计划份额不少于本集合计划在权益登记日相关集合计划份额的二分之一（含二分之一）；</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3、通讯开会的直接出具书面意见或授权他人代表出具书面意见的集合计划份额持有人所</w:t>
      </w:r>
      <w:r>
        <w:rPr>
          <w:rFonts w:ascii="宋体" w:hAnsi="宋体"/>
          <w:bCs/>
          <w:sz w:val="24"/>
        </w:rPr>
        <w:t xml:space="preserve">持有的集合计划份额不小于在权益登记日相关集合计划份额的二</w:t>
      </w:r>
      <w:r>
        <w:rPr>
          <w:rFonts w:ascii="宋体" w:hAnsi="宋体"/>
          <w:bCs/>
          <w:sz w:val="24"/>
        </w:rPr>
        <w:t xml:space="preserve">分之一（含二分之一）；</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4、在参与集合计划份额持有人大会投票的集合计划份额持有人所持有的集合计划份额小于在权益登记日相关集合计划份额的二分之一、召集人在原公告的集合计划份额持有人大会召开时间的 3 个月以后、6 个月以内就原定审议事项重新召集的集合计划份额持有人大会应当有代表三分之一以上（含三分之一）相关集合计划份额的持有人参与或授权他人参与集合计划份额持有人大会投票；</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5、现场开会由出席大会的集合计划份额持有人和代理人所持表决权的50%以上（含50%</w:t>
      </w:r>
      <w:r>
        <w:rPr>
          <w:rFonts w:ascii="宋体" w:hAnsi="宋体"/>
          <w:bCs/>
          <w:sz w:val="24"/>
        </w:rPr>
        <w:t xml:space="preserve">）选举产生一名集合计划份额持有人作为该次集合计划份额持有</w:t>
      </w:r>
      <w:r>
        <w:rPr>
          <w:rFonts w:ascii="宋体" w:hAnsi="宋体"/>
          <w:bCs/>
          <w:sz w:val="24"/>
        </w:rPr>
        <w:t xml:space="preserve">人大会的主持人；</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6、一般决议须经参加大会的集合计划份额持有人或其代理人所持表决权的二分之一以上（含二分之一）通过；</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7、特别决议应当经参加大会的集合计划份额持有人或其代理人所持表决权的三分之二以上（含三分之二）通过。</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同一主侧袋账户内的每份集合计划份额具有平等的表决权。</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十、本部分关于集合计划份额持有人大会召开事由、召开条件、议事程序、表决条件等规定，凡是直接引用法律法规或监管规则的部分，如将来法律法规或监管规则修改导致相关内容被取消或变更的，管理人</w:t>
      </w:r>
      <w:r>
        <w:rPr>
          <w:rFonts w:ascii="宋体" w:hAnsi="宋体"/>
          <w:bCs/>
          <w:sz w:val="24"/>
        </w:rPr>
        <w:t xml:space="preserve">与托管人协商一致并提前公告后，可直接对本部分内容进行修改</w:t>
      </w:r>
      <w:r>
        <w:rPr>
          <w:rFonts w:ascii="宋体" w:hAnsi="宋体"/>
          <w:bCs/>
          <w:sz w:val="24"/>
        </w:rPr>
        <w:t xml:space="preserve">和调整，无需召开集合计划份额持有人大会审议。</w:t>
      </w:r>
      <w:bookmarkStart w:id="195" w:name="_Toc3963"/>
      <w:r/>
      <w:bookmarkStart w:id="196" w:name="_Toc1745"/>
      <w:r>
        <w:rPr>
          <w:rFonts w:ascii="宋体" w:hAnsi="宋体"/>
          <w:bCs/>
          <w:sz w:val="24"/>
        </w:rPr>
      </w:r>
      <w:r/>
    </w:p>
    <w:p>
      <w:pPr>
        <w:pStyle w:val="370"/>
        <w:jc w:val="center"/>
        <w:snapToGrid w:val="1"/>
        <w:spacing w:after="0" w:before="0"/>
        <w:rPr>
          <w:rFonts w:hAnsi="宋体"/>
        </w:rPr>
      </w:pPr>
      <w:r>
        <w:rPr>
          <w:rFonts w:hAnsi="宋体"/>
          <w:bCs/>
        </w:rPr>
        <w:br w:type="page"/>
      </w:r>
      <w:bookmarkStart w:id="197" w:name="_Toc123112237"/>
      <w:r/>
      <w:bookmarkStart w:id="198" w:name="_Toc3572"/>
      <w:r/>
      <w:bookmarkStart w:id="199" w:name="_Toc98560355"/>
      <w:r/>
      <w:bookmarkStart w:id="200" w:name="_Toc21735"/>
      <w:r/>
      <w:bookmarkStart w:id="201" w:name="_Toc3080"/>
      <w:r/>
      <w:bookmarkStart w:id="202" w:name="_Toc10398"/>
      <w:r/>
      <w:bookmarkStart w:id="203" w:name="_Toc725"/>
      <w:r/>
      <w:bookmarkStart w:id="204" w:name="_Toc16164"/>
      <w:r/>
      <w:bookmarkStart w:id="205" w:name="_Toc31821"/>
      <w:r/>
      <w:bookmarkStart w:id="206" w:name="_Toc141703889"/>
      <w:r/>
      <w:bookmarkStart w:id="207" w:name="_Toc123102456"/>
      <w:r/>
      <w:bookmarkStart w:id="208" w:name="_Toc123051455"/>
      <w:r/>
      <w:bookmarkStart w:id="209" w:name="_Toc139991739"/>
      <w:r/>
      <w:bookmarkStart w:id="210" w:name="_Toc18206"/>
      <w:r/>
      <w:bookmarkStart w:id="211" w:name="_Toc58146340"/>
      <w:r>
        <w:rPr>
          <w:rFonts w:hAnsi="宋体"/>
          <w:color w:val="000000"/>
          <w:sz w:val="30"/>
        </w:rPr>
        <w:t xml:space="preserve">第</w:t>
      </w:r>
      <w:r>
        <w:rPr>
          <w:rFonts w:hAnsi="宋体"/>
          <w:color w:val="000000"/>
          <w:sz w:val="30"/>
        </w:rPr>
        <w:t xml:space="preserve">九</w:t>
      </w:r>
      <w:r>
        <w:rPr>
          <w:rFonts w:hAnsi="宋体"/>
          <w:color w:val="000000"/>
          <w:sz w:val="30"/>
        </w:rPr>
        <w:t xml:space="preserve">部分  管理人、托管人的更换条件和程序</w:t>
      </w:r>
      <w:bookmarkEnd w:id="195"/>
      <w:r/>
      <w:bookmarkEnd w:id="196"/>
      <w:r/>
      <w:bookmarkEnd w:id="197"/>
      <w:r/>
      <w:bookmarkEnd w:id="198"/>
      <w:r/>
      <w:bookmarkEnd w:id="199"/>
      <w:r/>
      <w:bookmarkEnd w:id="200"/>
      <w:r/>
      <w:bookmarkEnd w:id="201"/>
      <w:r/>
      <w:bookmarkEnd w:id="202"/>
      <w:r/>
      <w:bookmarkEnd w:id="203"/>
      <w:r/>
      <w:bookmarkEnd w:id="204"/>
      <w:r/>
      <w:bookmarkEnd w:id="205"/>
      <w:r/>
      <w:bookmarkEnd w:id="206"/>
      <w:r/>
      <w:bookmarkEnd w:id="207"/>
      <w:r/>
      <w:bookmarkEnd w:id="208"/>
      <w:r/>
      <w:bookmarkEnd w:id="209"/>
      <w:r/>
      <w:bookmarkEnd w:id="210"/>
      <w:r/>
      <w:bookmarkEnd w:id="211"/>
      <w:r>
        <w:rPr>
          <w:rFonts w:hAnsi="宋体"/>
        </w:rPr>
      </w:r>
      <w:r/>
    </w:p>
    <w:p>
      <w:pPr>
        <w:pStyle w:val="369"/>
        <w:snapToGrid w:val="1"/>
        <w:spacing w:lineRule="auto" w:line="360"/>
        <w:rPr>
          <w:rFonts w:ascii="宋体" w:hAnsi="宋体"/>
          <w:bCs/>
          <w:sz w:val="24"/>
        </w:rPr>
      </w:pPr>
      <w:r/>
      <w:bookmarkStart w:id="212" w:name="_Toc79392593"/>
      <w:r/>
      <w:bookmarkStart w:id="213" w:name="_Toc57530252"/>
      <w:r/>
      <w:bookmarkStart w:id="214" w:name="_Toc15118245"/>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一、管理人和托管人职责终止的情形</w:t>
      </w:r>
      <w:bookmarkEnd w:id="212"/>
      <w:r/>
      <w:bookmarkEnd w:id="213"/>
      <w:r/>
      <w:bookmarkEnd w:id="214"/>
      <w:r>
        <w:rPr>
          <w:rFonts w:ascii="宋体" w:hAnsi="宋体"/>
          <w:bCs/>
          <w:sz w:val="24"/>
        </w:rPr>
      </w:r>
      <w:r/>
    </w:p>
    <w:p>
      <w:pPr>
        <w:pStyle w:val="369"/>
        <w:ind w:firstLine="480"/>
        <w:snapToGrid w:val="1"/>
        <w:spacing w:lineRule="auto" w:line="360"/>
        <w:rPr>
          <w:rFonts w:ascii="宋体" w:hAnsi="宋体"/>
          <w:bCs/>
          <w:sz w:val="24"/>
        </w:rPr>
      </w:pPr>
      <w:r/>
      <w:bookmarkStart w:id="215" w:name="_Toc22005971"/>
      <w:r>
        <w:rPr>
          <w:rFonts w:ascii="宋体" w:hAnsi="宋体"/>
          <w:bCs/>
          <w:sz w:val="24"/>
        </w:rPr>
        <w:t xml:space="preserve">（一）管理人职责终止的情形</w:t>
      </w:r>
      <w:bookmarkEnd w:id="215"/>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有下列情形之一的，管理人职责终止：</w:t>
      </w:r>
      <w:r/>
    </w:p>
    <w:p>
      <w:pPr>
        <w:pStyle w:val="369"/>
        <w:ind w:firstLine="480"/>
        <w:snapToGrid w:val="1"/>
        <w:spacing w:lineRule="auto" w:line="360"/>
        <w:rPr>
          <w:rFonts w:ascii="宋体" w:hAnsi="宋体"/>
          <w:bCs/>
          <w:sz w:val="24"/>
        </w:rPr>
      </w:pPr>
      <w:r>
        <w:rPr>
          <w:rFonts w:ascii="宋体" w:hAnsi="宋体"/>
          <w:bCs/>
          <w:sz w:val="24"/>
        </w:rPr>
        <w:t xml:space="preserve">1、被依法取消</w:t>
      </w:r>
      <w:r>
        <w:rPr>
          <w:rFonts w:ascii="宋体" w:hAnsi="宋体"/>
          <w:bCs/>
          <w:sz w:val="24"/>
        </w:rPr>
        <w:t xml:space="preserve">集合计划</w:t>
      </w:r>
      <w:r>
        <w:rPr>
          <w:rFonts w:ascii="宋体" w:hAnsi="宋体"/>
          <w:bCs/>
          <w:sz w:val="24"/>
        </w:rPr>
        <w:t xml:space="preserve">管理资格；</w:t>
      </w:r>
      <w:r/>
    </w:p>
    <w:p>
      <w:pPr>
        <w:pStyle w:val="369"/>
        <w:ind w:firstLine="480"/>
        <w:snapToGrid w:val="1"/>
        <w:spacing w:lineRule="auto" w:line="360"/>
        <w:rPr>
          <w:rFonts w:ascii="宋体" w:hAnsi="宋体"/>
          <w:bCs/>
          <w:sz w:val="24"/>
        </w:rPr>
      </w:pPr>
      <w:r>
        <w:rPr>
          <w:rFonts w:ascii="宋体" w:hAnsi="宋体"/>
          <w:bCs/>
          <w:sz w:val="24"/>
        </w:rPr>
        <w:t xml:space="preserve">2、被集合计划份额持有人大会解任；</w:t>
      </w:r>
      <w:r/>
    </w:p>
    <w:p>
      <w:pPr>
        <w:pStyle w:val="369"/>
        <w:ind w:firstLine="480"/>
        <w:snapToGrid w:val="1"/>
        <w:spacing w:lineRule="auto" w:line="360"/>
        <w:rPr>
          <w:rFonts w:ascii="宋体" w:hAnsi="宋体"/>
          <w:bCs/>
          <w:sz w:val="24"/>
        </w:rPr>
      </w:pPr>
      <w:r>
        <w:rPr>
          <w:rFonts w:ascii="宋体" w:hAnsi="宋体"/>
          <w:bCs/>
          <w:sz w:val="24"/>
        </w:rPr>
        <w:t xml:space="preserve">3、依法解散、被依法撤销或被依法宣告破产；</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管理人将本合同项下权利义务转让给其以独资或控股方式成立的具有独立法人资格的从事资产管理业务的公司；</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5、法律法规及中国证监会规定的和《集合计划合同</w:t>
      </w:r>
      <w:r>
        <w:rPr>
          <w:rFonts w:ascii="宋体" w:hAnsi="宋体"/>
          <w:bCs/>
          <w:sz w:val="24"/>
        </w:rPr>
        <w:t xml:space="preserve">》约定的其他</w:t>
      </w:r>
      <w:r>
        <w:rPr>
          <w:rFonts w:ascii="宋体" w:hAnsi="宋体"/>
          <w:bCs/>
          <w:sz w:val="24"/>
        </w:rPr>
        <w:t xml:space="preserve">情形。</w:t>
      </w:r>
      <w:r/>
    </w:p>
    <w:p>
      <w:pPr>
        <w:pStyle w:val="369"/>
        <w:ind w:firstLine="480"/>
        <w:snapToGrid w:val="1"/>
        <w:spacing w:lineRule="auto" w:line="360"/>
        <w:rPr>
          <w:rFonts w:ascii="宋体" w:hAnsi="宋体"/>
          <w:bCs/>
          <w:sz w:val="24"/>
        </w:rPr>
      </w:pPr>
      <w:r/>
      <w:bookmarkStart w:id="216" w:name="_Toc22005972"/>
      <w:r>
        <w:rPr>
          <w:rFonts w:ascii="宋体" w:hAnsi="宋体"/>
          <w:bCs/>
          <w:sz w:val="24"/>
        </w:rPr>
        <w:t xml:space="preserve">（二）</w:t>
        <w:tab/>
        <w:t xml:space="preserve">托管人职</w:t>
      </w:r>
      <w:r>
        <w:rPr>
          <w:rFonts w:ascii="宋体" w:hAnsi="宋体"/>
          <w:bCs/>
          <w:sz w:val="24"/>
        </w:rPr>
        <w:t xml:space="preserve">责终止的情形</w:t>
      </w:r>
      <w:bookmarkEnd w:id="216"/>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有下列情形之一的，托管人职责终止：</w:t>
      </w:r>
      <w:r/>
    </w:p>
    <w:p>
      <w:pPr>
        <w:pStyle w:val="369"/>
        <w:ind w:firstLine="480"/>
        <w:snapToGrid w:val="1"/>
        <w:spacing w:lineRule="auto" w:line="360"/>
        <w:rPr>
          <w:rFonts w:ascii="宋体" w:hAnsi="宋体"/>
          <w:bCs/>
          <w:sz w:val="24"/>
        </w:rPr>
      </w:pPr>
      <w:r>
        <w:rPr>
          <w:rFonts w:ascii="宋体" w:hAnsi="宋体"/>
          <w:bCs/>
          <w:sz w:val="24"/>
        </w:rPr>
        <w:t xml:space="preserve">1、被依法取消</w:t>
      </w:r>
      <w:r>
        <w:rPr>
          <w:rFonts w:ascii="宋体" w:hAnsi="宋体"/>
          <w:bCs/>
          <w:sz w:val="24"/>
        </w:rPr>
        <w:t xml:space="preserve">基金</w:t>
      </w:r>
      <w:r>
        <w:rPr>
          <w:rFonts w:ascii="宋体" w:hAnsi="宋体"/>
          <w:bCs/>
          <w:sz w:val="24"/>
        </w:rPr>
        <w:t xml:space="preserve">托管资格；</w:t>
      </w:r>
      <w:r/>
    </w:p>
    <w:p>
      <w:pPr>
        <w:pStyle w:val="369"/>
        <w:ind w:firstLine="480"/>
        <w:snapToGrid w:val="1"/>
        <w:spacing w:lineRule="auto" w:line="360"/>
        <w:rPr>
          <w:rFonts w:ascii="宋体" w:hAnsi="宋体"/>
          <w:bCs/>
          <w:sz w:val="24"/>
        </w:rPr>
      </w:pPr>
      <w:r>
        <w:rPr>
          <w:rFonts w:ascii="宋体" w:hAnsi="宋体"/>
          <w:bCs/>
          <w:sz w:val="24"/>
        </w:rPr>
        <w:t xml:space="preserve">2、被集合计划份额持有人大会解任；</w:t>
      </w:r>
      <w:r/>
    </w:p>
    <w:p>
      <w:pPr>
        <w:pStyle w:val="369"/>
        <w:ind w:firstLine="480"/>
        <w:snapToGrid w:val="1"/>
        <w:spacing w:lineRule="auto" w:line="360"/>
        <w:rPr>
          <w:rFonts w:ascii="宋体" w:hAnsi="宋体"/>
          <w:bCs/>
          <w:sz w:val="24"/>
        </w:rPr>
      </w:pPr>
      <w:r>
        <w:rPr>
          <w:rFonts w:ascii="宋体" w:hAnsi="宋体"/>
          <w:bCs/>
          <w:sz w:val="24"/>
        </w:rPr>
        <w:t xml:space="preserve">3、依法解散、被依法撤销或被依法宣告破产；</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法律法规及中国证监会规定的和《集合计划合同》约定的其他</w:t>
      </w:r>
      <w:r>
        <w:rPr>
          <w:rFonts w:ascii="宋体" w:hAnsi="宋体"/>
          <w:bCs/>
          <w:sz w:val="24"/>
        </w:rPr>
        <w:t xml:space="preserve">情形。</w:t>
      </w:r>
      <w:r/>
    </w:p>
    <w:p>
      <w:pPr>
        <w:pStyle w:val="369"/>
        <w:ind w:firstLine="480"/>
        <w:snapToGrid w:val="1"/>
        <w:spacing w:lineRule="auto" w:line="360"/>
        <w:rPr>
          <w:rFonts w:ascii="宋体" w:hAnsi="宋体"/>
          <w:bCs/>
          <w:sz w:val="24"/>
        </w:rPr>
      </w:pPr>
      <w:r/>
      <w:bookmarkStart w:id="217" w:name="_Toc15118246"/>
      <w:r/>
      <w:bookmarkStart w:id="218" w:name="_Toc57530253"/>
      <w:r/>
      <w:bookmarkStart w:id="219" w:name="_Toc79392594"/>
      <w:r>
        <w:rPr>
          <w:rFonts w:ascii="宋体" w:hAnsi="宋体"/>
          <w:bCs/>
          <w:sz w:val="24"/>
        </w:rPr>
        <w:t xml:space="preserve">二、管理人和托管人的更换程序</w:t>
      </w:r>
      <w:bookmarkEnd w:id="217"/>
      <w:r/>
      <w:bookmarkEnd w:id="218"/>
      <w:r/>
      <w:bookmarkEnd w:id="219"/>
      <w:r>
        <w:rPr>
          <w:rFonts w:ascii="宋体" w:hAnsi="宋体"/>
          <w:bCs/>
          <w:sz w:val="24"/>
        </w:rPr>
      </w:r>
      <w:r/>
    </w:p>
    <w:p>
      <w:pPr>
        <w:pStyle w:val="369"/>
        <w:ind w:firstLine="480"/>
        <w:snapToGrid w:val="1"/>
        <w:spacing w:lineRule="auto" w:line="360"/>
        <w:rPr>
          <w:rFonts w:ascii="宋体" w:hAnsi="宋体"/>
          <w:bCs/>
          <w:sz w:val="24"/>
        </w:rPr>
      </w:pPr>
      <w:r/>
      <w:bookmarkStart w:id="220" w:name="_Toc22005974"/>
      <w:r>
        <w:rPr>
          <w:rFonts w:ascii="宋体" w:hAnsi="宋体"/>
          <w:bCs/>
          <w:sz w:val="24"/>
        </w:rPr>
        <w:t xml:space="preserve">（一）</w:t>
        <w:tab/>
        <w:t xml:space="preserve">管理人的更换程序</w:t>
      </w:r>
      <w:bookmarkEnd w:id="220"/>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1、提名：新任管理人由托管人或由单独或合计持有</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w:t>
      </w:r>
      <w:r>
        <w:rPr>
          <w:rFonts w:ascii="宋体" w:hAnsi="宋体"/>
          <w:bCs/>
          <w:sz w:val="24"/>
        </w:rPr>
        <w:t xml:space="preserve">集合计划</w:t>
      </w:r>
      <w:r>
        <w:rPr>
          <w:rFonts w:ascii="宋体" w:hAnsi="宋体"/>
          <w:bCs/>
          <w:sz w:val="24"/>
        </w:rPr>
        <w:t xml:space="preserve">份额的集合计划份额持有人提名；</w:t>
      </w:r>
      <w:r/>
    </w:p>
    <w:p>
      <w:pPr>
        <w:pStyle w:val="369"/>
        <w:ind w:firstLine="480"/>
        <w:snapToGrid w:val="1"/>
        <w:spacing w:lineRule="auto" w:line="360"/>
        <w:rPr>
          <w:rFonts w:ascii="宋体" w:hAnsi="宋体"/>
          <w:bCs/>
          <w:sz w:val="24"/>
        </w:rPr>
      </w:pPr>
      <w:r>
        <w:rPr>
          <w:rFonts w:ascii="宋体" w:hAnsi="宋体"/>
          <w:bCs/>
          <w:sz w:val="24"/>
        </w:rPr>
        <w:t xml:space="preserve">2、决议：集合计划份额持有人大会在管理人职责终止后</w:t>
      </w:r>
      <w:r>
        <w:rPr>
          <w:rFonts w:ascii="宋体" w:hAnsi="宋体"/>
          <w:bCs/>
          <w:sz w:val="24"/>
        </w:rPr>
        <w:t xml:space="preserve">6</w:t>
      </w:r>
      <w:r>
        <w:rPr>
          <w:rFonts w:ascii="宋体" w:hAnsi="宋体"/>
          <w:bCs/>
          <w:sz w:val="24"/>
        </w:rPr>
        <w:t xml:space="preserve">个月内对被提名的管理人形成决议，该</w:t>
      </w:r>
      <w:r>
        <w:rPr>
          <w:rFonts w:ascii="宋体" w:hAnsi="宋体"/>
          <w:bCs/>
          <w:sz w:val="24"/>
        </w:rPr>
        <w:t xml:space="preserve">决议需经参加大会的集合计划份额持有人所持表决权的</w:t>
      </w:r>
      <w:r>
        <w:rPr>
          <w:rFonts w:ascii="宋体" w:hAnsi="宋体"/>
          <w:bCs/>
          <w:sz w:val="24"/>
        </w:rPr>
        <w:t xml:space="preserve">三分之二</w:t>
      </w:r>
      <w:r>
        <w:rPr>
          <w:rFonts w:ascii="宋体" w:hAnsi="宋体"/>
          <w:bCs/>
          <w:sz w:val="24"/>
        </w:rPr>
        <w:t xml:space="preserve">以上（含</w:t>
      </w:r>
      <w:r>
        <w:rPr>
          <w:rFonts w:ascii="宋体" w:hAnsi="宋体"/>
          <w:bCs/>
          <w:sz w:val="24"/>
        </w:rPr>
        <w:t xml:space="preserve">三分之二</w:t>
      </w:r>
      <w:r>
        <w:rPr>
          <w:rFonts w:ascii="宋体" w:hAnsi="宋体"/>
          <w:bCs/>
          <w:sz w:val="24"/>
        </w:rPr>
        <w:t xml:space="preserve">）表决通过，决议自表决通过之日起生效；</w:t>
      </w:r>
      <w:r/>
    </w:p>
    <w:p>
      <w:pPr>
        <w:pStyle w:val="369"/>
        <w:ind w:firstLine="480"/>
        <w:snapToGrid w:val="1"/>
        <w:spacing w:lineRule="auto" w:line="360"/>
        <w:rPr>
          <w:rFonts w:ascii="宋体" w:hAnsi="宋体"/>
          <w:bCs/>
          <w:sz w:val="24"/>
        </w:rPr>
      </w:pPr>
      <w:r>
        <w:rPr>
          <w:rFonts w:ascii="宋体" w:hAnsi="宋体"/>
          <w:bCs/>
          <w:sz w:val="24"/>
        </w:rPr>
        <w:t xml:space="preserve">3、临时管理人：新任管理人产生之前，由中国证监会指定临时管理人；</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备案</w:t>
      </w:r>
      <w:r>
        <w:rPr>
          <w:rFonts w:ascii="宋体" w:hAnsi="宋体"/>
          <w:bCs/>
          <w:sz w:val="24"/>
        </w:rPr>
        <w:t xml:space="preserve">：集合计划份额持有人大会</w:t>
      </w:r>
      <w:r>
        <w:rPr>
          <w:rFonts w:ascii="宋体" w:hAnsi="宋体"/>
          <w:bCs/>
          <w:sz w:val="24"/>
        </w:rPr>
        <w:t xml:space="preserve">更换</w:t>
      </w:r>
      <w:r>
        <w:rPr>
          <w:rFonts w:ascii="宋体" w:hAnsi="宋体"/>
          <w:bCs/>
          <w:sz w:val="24"/>
        </w:rPr>
        <w:t xml:space="preserve">管理人的决议须</w:t>
      </w:r>
      <w:r>
        <w:rPr>
          <w:rFonts w:ascii="宋体" w:hAnsi="宋体"/>
          <w:bCs/>
          <w:sz w:val="24"/>
        </w:rPr>
        <w:t xml:space="preserve">报</w:t>
      </w:r>
      <w:r>
        <w:rPr>
          <w:rFonts w:ascii="宋体" w:hAnsi="宋体"/>
          <w:bCs/>
          <w:sz w:val="24"/>
        </w:rPr>
        <w:t xml:space="preserve">中国证监会</w:t>
      </w:r>
      <w:r>
        <w:rPr>
          <w:rFonts w:ascii="宋体" w:hAnsi="宋体"/>
          <w:bCs/>
          <w:sz w:val="24"/>
        </w:rPr>
        <w:t xml:space="preserve">备案</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5、公告：管理人更换后，由托管人在更换管理人的集合计划份额持有人大会决议生效后2日内在</w:t>
      </w:r>
      <w:r>
        <w:rPr>
          <w:rFonts w:ascii="宋体" w:hAnsi="宋体"/>
          <w:bCs/>
          <w:sz w:val="24"/>
        </w:rPr>
        <w:t xml:space="preserve">规定媒介</w:t>
      </w:r>
      <w:r>
        <w:rPr>
          <w:rFonts w:ascii="宋体" w:hAnsi="宋体"/>
          <w:bCs/>
          <w:sz w:val="24"/>
        </w:rPr>
        <w:t xml:space="preserve">公告；</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6、交接：管理人职责终止的，管理人应妥善保管</w:t>
      </w:r>
      <w:r>
        <w:rPr>
          <w:rFonts w:ascii="宋体" w:hAnsi="宋体"/>
          <w:bCs/>
          <w:sz w:val="24"/>
        </w:rPr>
        <w:t xml:space="preserve">集合计划</w:t>
      </w:r>
      <w:r>
        <w:rPr>
          <w:rFonts w:ascii="宋体" w:hAnsi="宋体"/>
          <w:bCs/>
          <w:sz w:val="24"/>
        </w:rPr>
        <w:t xml:space="preserve">管理业务资料，及时向临时管理人或新任管理人办理</w:t>
      </w:r>
      <w:r>
        <w:rPr>
          <w:rFonts w:ascii="宋体" w:hAnsi="宋体"/>
          <w:bCs/>
          <w:sz w:val="24"/>
        </w:rPr>
        <w:t xml:space="preserve">集合计划</w:t>
      </w:r>
      <w:r>
        <w:rPr>
          <w:rFonts w:ascii="宋体" w:hAnsi="宋体"/>
          <w:bCs/>
          <w:sz w:val="24"/>
        </w:rPr>
        <w:t xml:space="preserve">管理业务的移交手续，临时管理人或新任管理人应及时接收。新</w:t>
      </w:r>
      <w:r>
        <w:rPr>
          <w:rFonts w:ascii="宋体" w:hAnsi="宋体"/>
          <w:bCs/>
          <w:sz w:val="24"/>
        </w:rPr>
        <w:t xml:space="preserve">任管理人</w:t>
      </w:r>
      <w:r>
        <w:rPr>
          <w:rFonts w:ascii="宋体" w:hAnsi="宋体"/>
          <w:bCs/>
          <w:sz w:val="24"/>
        </w:rPr>
        <w:t xml:space="preserve">或临时管理人</w:t>
      </w:r>
      <w:r>
        <w:rPr>
          <w:rFonts w:ascii="宋体" w:hAnsi="宋体"/>
          <w:bCs/>
          <w:sz w:val="24"/>
        </w:rPr>
        <w:t xml:space="preserve">应与托管人核对</w:t>
      </w:r>
      <w:r>
        <w:rPr>
          <w:rFonts w:ascii="宋体" w:hAnsi="宋体"/>
          <w:bCs/>
          <w:sz w:val="24"/>
        </w:rPr>
        <w:t xml:space="preserve">集合计划</w:t>
      </w:r>
      <w:r>
        <w:rPr>
          <w:rFonts w:ascii="宋体" w:hAnsi="宋体"/>
          <w:bCs/>
          <w:sz w:val="24"/>
        </w:rPr>
        <w:t xml:space="preserve">资产总值</w:t>
      </w:r>
      <w:r>
        <w:rPr>
          <w:rFonts w:ascii="宋体" w:hAnsi="宋体"/>
          <w:bCs/>
          <w:sz w:val="24"/>
        </w:rPr>
        <w:t xml:space="preserve">和净值</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7、审计：管理人职责终止的，应当按照法律法规规定聘请会计师事务所对</w:t>
      </w:r>
      <w:r>
        <w:rPr>
          <w:rFonts w:ascii="宋体" w:hAnsi="宋体"/>
          <w:bCs/>
          <w:sz w:val="24"/>
        </w:rPr>
        <w:t xml:space="preserve">集合计划</w:t>
      </w:r>
      <w:r>
        <w:rPr>
          <w:rFonts w:ascii="宋体" w:hAnsi="宋体"/>
          <w:bCs/>
          <w:sz w:val="24"/>
        </w:rPr>
        <w:t xml:space="preserve">财产进行审计，并将审计结果予以公告，同时报中国证监会备案，</w:t>
      </w:r>
      <w:r>
        <w:rPr>
          <w:rFonts w:ascii="宋体" w:hAnsi="宋体"/>
          <w:color w:val="000000"/>
          <w:sz w:val="24"/>
        </w:rPr>
        <w:t xml:space="preserve">审计费用从</w:t>
      </w:r>
      <w:r>
        <w:rPr>
          <w:rFonts w:ascii="宋体" w:hAnsi="宋体"/>
          <w:bCs/>
          <w:sz w:val="24"/>
        </w:rPr>
        <w:t xml:space="preserve">集合计划</w:t>
      </w:r>
      <w:r>
        <w:rPr>
          <w:rFonts w:ascii="宋体" w:hAnsi="宋体"/>
          <w:color w:val="000000"/>
          <w:sz w:val="24"/>
        </w:rPr>
        <w:t xml:space="preserve">财产中列支</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8、</w:t>
      </w:r>
      <w:r>
        <w:rPr>
          <w:rFonts w:ascii="宋体" w:hAnsi="宋体"/>
          <w:bCs/>
          <w:sz w:val="24"/>
        </w:rPr>
        <w:t xml:space="preserve">集合计划</w:t>
      </w:r>
      <w:r>
        <w:rPr>
          <w:rFonts w:ascii="宋体" w:hAnsi="宋体"/>
          <w:bCs/>
          <w:sz w:val="24"/>
        </w:rPr>
        <w:t xml:space="preserve">名称变更：管理人更换后，如果原任或新任管理人要求，应按其要求替换或删除</w:t>
      </w:r>
      <w:r>
        <w:rPr>
          <w:rFonts w:ascii="宋体" w:hAnsi="宋体"/>
          <w:bCs/>
          <w:sz w:val="24"/>
        </w:rPr>
        <w:t xml:space="preserve">集合计划</w:t>
      </w:r>
      <w:r>
        <w:rPr>
          <w:rFonts w:ascii="宋体" w:hAnsi="宋体"/>
          <w:bCs/>
          <w:sz w:val="24"/>
        </w:rPr>
        <w:t xml:space="preserve">名称中与原任管理人有关的名称字样。</w:t>
      </w:r>
      <w:r/>
    </w:p>
    <w:p>
      <w:pPr>
        <w:pStyle w:val="369"/>
        <w:ind w:firstLine="480"/>
        <w:snapToGrid w:val="1"/>
        <w:spacing w:lineRule="auto" w:line="360"/>
        <w:rPr>
          <w:rFonts w:ascii="宋体" w:hAnsi="宋体"/>
          <w:bCs/>
          <w:sz w:val="24"/>
        </w:rPr>
      </w:pPr>
      <w:r/>
      <w:bookmarkStart w:id="221" w:name="_Toc22005975"/>
      <w:r>
        <w:rPr>
          <w:rFonts w:ascii="宋体" w:hAnsi="宋体"/>
          <w:bCs/>
          <w:sz w:val="24"/>
        </w:rPr>
        <w:t xml:space="preserve">（二）</w:t>
      </w:r>
      <w:r>
        <w:rPr>
          <w:rFonts w:ascii="宋体" w:hAnsi="宋体"/>
          <w:bCs/>
          <w:sz w:val="24"/>
        </w:rPr>
        <w:t xml:space="preserve">管理人更换的特殊程序</w:t>
      </w:r>
      <w:r/>
    </w:p>
    <w:p>
      <w:pPr>
        <w:pStyle w:val="369"/>
        <w:ind w:firstLine="480"/>
        <w:snapToGrid w:val="1"/>
        <w:spacing w:lineRule="auto" w:line="360"/>
        <w:rPr>
          <w:rFonts w:ascii="宋体" w:hAnsi="宋体"/>
          <w:bCs/>
          <w:sz w:val="24"/>
        </w:rPr>
      </w:pPr>
      <w:r>
        <w:rPr>
          <w:rFonts w:ascii="宋体" w:hAnsi="宋体"/>
          <w:bCs/>
          <w:sz w:val="24"/>
        </w:rPr>
        <w:t xml:space="preserve">当管理人根据相关法律法规的规定，以独资或者控股方式成立具有独立法人资格的从事资产管理业务的公司时，在管理人和托管人协商一致的基础上，管</w:t>
      </w:r>
      <w:r>
        <w:rPr>
          <w:rFonts w:ascii="宋体" w:hAnsi="宋体"/>
          <w:bCs/>
          <w:sz w:val="24"/>
        </w:rPr>
        <w:t xml:space="preserve">理人有权将本合同中管理人的全部权利和义务转让给前述从事资</w:t>
      </w:r>
      <w:r>
        <w:rPr>
          <w:rFonts w:ascii="宋体" w:hAnsi="宋体"/>
          <w:bCs/>
          <w:sz w:val="24"/>
        </w:rPr>
        <w:t xml:space="preserve">产管理业务的公司，本集合计划的管理人变更为前述从事资产管理业务的公司。前述变更事项无需召开集合计划份额持有人大会审议，但管理人应当保证受让人具备管理本集合计划的相关资格，按照法律法规和中国证监会的要求履行相关程序，并按照《信息披露办法》的规定在规定媒介公告。</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（三）</w:t>
      </w:r>
      <w:r>
        <w:rPr>
          <w:rFonts w:ascii="宋体" w:hAnsi="宋体"/>
          <w:bCs/>
          <w:sz w:val="24"/>
        </w:rPr>
        <w:t xml:space="preserve">托管人的更换程序</w:t>
      </w:r>
      <w:bookmarkEnd w:id="221"/>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1、提名：新任托管人由管理人或由单独或合计持有</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w:t>
      </w:r>
      <w:r>
        <w:rPr>
          <w:rFonts w:ascii="宋体" w:hAnsi="宋体"/>
          <w:bCs/>
          <w:sz w:val="24"/>
        </w:rPr>
        <w:t xml:space="preserve">集合计划</w:t>
      </w:r>
      <w:r>
        <w:rPr>
          <w:rFonts w:ascii="宋体" w:hAnsi="宋体"/>
          <w:bCs/>
          <w:sz w:val="24"/>
        </w:rPr>
        <w:t xml:space="preserve">份额的集合计划份额持有人提名；</w:t>
      </w:r>
      <w:r/>
    </w:p>
    <w:p>
      <w:pPr>
        <w:pStyle w:val="369"/>
        <w:ind w:firstLine="480"/>
        <w:snapToGrid w:val="1"/>
        <w:spacing w:lineRule="auto" w:line="360"/>
        <w:rPr>
          <w:rFonts w:ascii="宋体" w:hAnsi="宋体"/>
          <w:bCs/>
          <w:sz w:val="24"/>
        </w:rPr>
      </w:pPr>
      <w:r>
        <w:rPr>
          <w:rFonts w:ascii="宋体" w:hAnsi="宋体"/>
          <w:bCs/>
          <w:sz w:val="24"/>
        </w:rPr>
        <w:t xml:space="preserve">2、决议：集合计划份额持有人大会在托管人职责终止后</w:t>
      </w:r>
      <w:r>
        <w:rPr>
          <w:rFonts w:ascii="宋体" w:hAnsi="宋体"/>
          <w:bCs/>
          <w:sz w:val="24"/>
        </w:rPr>
        <w:t xml:space="preserve">6</w:t>
      </w:r>
      <w:r>
        <w:rPr>
          <w:rFonts w:ascii="宋体" w:hAnsi="宋体"/>
          <w:bCs/>
          <w:sz w:val="24"/>
        </w:rPr>
        <w:t xml:space="preserve">个月内对被提</w:t>
      </w:r>
      <w:r>
        <w:rPr>
          <w:rFonts w:ascii="宋体" w:hAnsi="宋体"/>
          <w:bCs/>
          <w:sz w:val="24"/>
        </w:rPr>
        <w:t xml:space="preserve">名的托管人形成决议，该决议需经参加大会的集合计划份额持有</w:t>
      </w:r>
      <w:r>
        <w:rPr>
          <w:rFonts w:ascii="宋体" w:hAnsi="宋体"/>
          <w:bCs/>
          <w:sz w:val="24"/>
        </w:rPr>
        <w:t xml:space="preserve">人所持表决权的</w:t>
      </w:r>
      <w:r>
        <w:rPr>
          <w:rFonts w:ascii="宋体" w:hAnsi="宋体"/>
          <w:bCs/>
          <w:sz w:val="24"/>
        </w:rPr>
        <w:t xml:space="preserve">三分之二</w:t>
      </w:r>
      <w:r>
        <w:rPr>
          <w:rFonts w:ascii="宋体" w:hAnsi="宋体"/>
          <w:bCs/>
          <w:sz w:val="24"/>
        </w:rPr>
        <w:t xml:space="preserve">以上（含</w:t>
      </w:r>
      <w:r>
        <w:rPr>
          <w:rFonts w:ascii="宋体" w:hAnsi="宋体"/>
          <w:bCs/>
          <w:sz w:val="24"/>
        </w:rPr>
        <w:t xml:space="preserve">三分之二</w:t>
      </w:r>
      <w:r>
        <w:rPr>
          <w:rFonts w:ascii="宋体" w:hAnsi="宋体"/>
          <w:bCs/>
          <w:sz w:val="24"/>
        </w:rPr>
        <w:t xml:space="preserve">）表决通过</w:t>
      </w:r>
      <w:r>
        <w:rPr>
          <w:rFonts w:ascii="宋体" w:hAnsi="宋体"/>
          <w:bCs/>
          <w:sz w:val="24"/>
        </w:rPr>
        <w:t xml:space="preserve">，决议自表决通过之日起生效</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3、临时托管人：新任托管人产生之前，由中国证监会指定临时托管人；</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备案</w:t>
      </w:r>
      <w:r>
        <w:rPr>
          <w:rFonts w:ascii="宋体" w:hAnsi="宋体"/>
          <w:bCs/>
          <w:sz w:val="24"/>
        </w:rPr>
        <w:t xml:space="preserve">：集合计划份额持有人大会更换托管人的决议须</w:t>
      </w:r>
      <w:r>
        <w:rPr>
          <w:rFonts w:ascii="宋体" w:hAnsi="宋体"/>
          <w:bCs/>
          <w:sz w:val="24"/>
        </w:rPr>
        <w:t xml:space="preserve">报</w:t>
      </w:r>
      <w:r>
        <w:rPr>
          <w:rFonts w:ascii="宋体" w:hAnsi="宋体"/>
          <w:bCs/>
          <w:sz w:val="24"/>
        </w:rPr>
        <w:t xml:space="preserve">中国证监会</w:t>
      </w:r>
      <w:r>
        <w:rPr>
          <w:rFonts w:ascii="宋体" w:hAnsi="宋体"/>
          <w:bCs/>
          <w:sz w:val="24"/>
        </w:rPr>
        <w:t xml:space="preserve">备案</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5、公告：托管人更换后，由管理人在更换托管人的集合计划份额持有人大会决议生效后</w:t>
      </w:r>
      <w:r>
        <w:rPr>
          <w:rFonts w:ascii="宋体" w:hAnsi="宋体"/>
          <w:bCs/>
          <w:sz w:val="24"/>
        </w:rPr>
        <w:t xml:space="preserve">2</w:t>
      </w:r>
      <w:r>
        <w:rPr>
          <w:rFonts w:ascii="宋体" w:hAnsi="宋体"/>
          <w:bCs/>
          <w:sz w:val="24"/>
        </w:rPr>
        <w:t xml:space="preserve">日内在</w:t>
      </w:r>
      <w:r>
        <w:rPr>
          <w:rFonts w:ascii="宋体" w:hAnsi="宋体"/>
          <w:bCs/>
          <w:sz w:val="24"/>
        </w:rPr>
        <w:t xml:space="preserve">规定媒介</w:t>
      </w:r>
      <w:r>
        <w:rPr>
          <w:rFonts w:ascii="宋体" w:hAnsi="宋体"/>
          <w:bCs/>
          <w:sz w:val="24"/>
        </w:rPr>
        <w:t xml:space="preserve">公告</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6、交接：托管人职责终止的，应当妥善保管</w:t>
      </w:r>
      <w:r>
        <w:rPr>
          <w:rFonts w:ascii="宋体" w:hAnsi="宋体"/>
          <w:bCs/>
          <w:sz w:val="24"/>
        </w:rPr>
        <w:t xml:space="preserve">集合计划</w:t>
      </w:r>
      <w:r>
        <w:rPr>
          <w:rFonts w:ascii="宋体" w:hAnsi="宋体"/>
          <w:bCs/>
          <w:sz w:val="24"/>
        </w:rPr>
        <w:t xml:space="preserve">财产和</w:t>
      </w:r>
      <w:r>
        <w:rPr>
          <w:rFonts w:ascii="宋体" w:hAnsi="宋体"/>
          <w:bCs/>
          <w:sz w:val="24"/>
        </w:rPr>
        <w:t xml:space="preserve">集合计划</w:t>
      </w:r>
      <w:r>
        <w:rPr>
          <w:rFonts w:ascii="宋体" w:hAnsi="宋体"/>
          <w:bCs/>
          <w:sz w:val="24"/>
        </w:rPr>
        <w:t xml:space="preserve">托管业务资料，及时办理</w:t>
      </w:r>
      <w:r>
        <w:rPr>
          <w:rFonts w:ascii="宋体" w:hAnsi="宋体"/>
          <w:bCs/>
          <w:sz w:val="24"/>
        </w:rPr>
        <w:t xml:space="preserve">集合计划</w:t>
      </w:r>
      <w:r>
        <w:rPr>
          <w:rFonts w:ascii="宋体" w:hAnsi="宋体"/>
          <w:bCs/>
          <w:sz w:val="24"/>
        </w:rPr>
        <w:t xml:space="preserve">财产和</w:t>
      </w:r>
      <w:r>
        <w:rPr>
          <w:rFonts w:ascii="宋体" w:hAnsi="宋体"/>
          <w:bCs/>
          <w:sz w:val="24"/>
        </w:rPr>
        <w:t xml:space="preserve">集合计划</w:t>
      </w:r>
      <w:r>
        <w:rPr>
          <w:rFonts w:ascii="宋体" w:hAnsi="宋体"/>
          <w:bCs/>
          <w:sz w:val="24"/>
        </w:rPr>
        <w:t xml:space="preserve">托管业务的移交手续，新任托管人或者</w:t>
      </w:r>
      <w:r>
        <w:rPr>
          <w:rFonts w:ascii="宋体" w:hAnsi="宋体"/>
          <w:bCs/>
          <w:sz w:val="24"/>
        </w:rPr>
        <w:t xml:space="preserve">临时托管人应当及时接收。新任托管人</w:t>
      </w:r>
      <w:r>
        <w:rPr>
          <w:rFonts w:ascii="宋体" w:hAnsi="宋体"/>
          <w:bCs/>
          <w:sz w:val="24"/>
        </w:rPr>
        <w:t xml:space="preserve">或临时托管人应</w:t>
      </w:r>
      <w:r>
        <w:rPr>
          <w:rFonts w:ascii="宋体" w:hAnsi="宋体"/>
          <w:bCs/>
          <w:sz w:val="24"/>
        </w:rPr>
        <w:t xml:space="preserve">与管理人核对</w:t>
      </w:r>
      <w:r>
        <w:rPr>
          <w:rFonts w:ascii="宋体" w:hAnsi="宋体"/>
          <w:bCs/>
          <w:sz w:val="24"/>
        </w:rPr>
        <w:t xml:space="preserve">集合计划</w:t>
      </w:r>
      <w:r>
        <w:rPr>
          <w:rFonts w:ascii="宋体" w:hAnsi="宋体"/>
          <w:bCs/>
          <w:sz w:val="24"/>
        </w:rPr>
        <w:t xml:space="preserve">资产总值</w:t>
      </w:r>
      <w:r>
        <w:rPr>
          <w:rFonts w:ascii="宋体" w:hAnsi="宋体"/>
          <w:bCs/>
          <w:sz w:val="24"/>
        </w:rPr>
        <w:t xml:space="preserve">和净值；</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7、审计：托管人职责终止的，应当按照法律法规规定聘请会计师事务所对</w:t>
      </w:r>
      <w:r>
        <w:rPr>
          <w:rFonts w:ascii="宋体" w:hAnsi="宋体"/>
          <w:bCs/>
          <w:sz w:val="24"/>
        </w:rPr>
        <w:t xml:space="preserve">集合计划</w:t>
      </w:r>
      <w:r>
        <w:rPr>
          <w:rFonts w:ascii="宋体" w:hAnsi="宋体"/>
          <w:bCs/>
          <w:sz w:val="24"/>
        </w:rPr>
        <w:t xml:space="preserve">财产进行审计，并将审计结果予以公告，同时报中国证监会备案</w:t>
      </w:r>
      <w:r>
        <w:rPr>
          <w:rFonts w:ascii="宋体" w:hAnsi="宋体"/>
          <w:color w:val="000000"/>
          <w:sz w:val="24"/>
        </w:rPr>
        <w:t xml:space="preserve">，审计费用从</w:t>
      </w:r>
      <w:r>
        <w:rPr>
          <w:rFonts w:ascii="宋体" w:hAnsi="宋体"/>
          <w:bCs/>
          <w:sz w:val="24"/>
        </w:rPr>
        <w:t xml:space="preserve">集合计划</w:t>
      </w:r>
      <w:r>
        <w:rPr>
          <w:rFonts w:ascii="宋体" w:hAnsi="宋体"/>
          <w:color w:val="000000"/>
          <w:sz w:val="24"/>
        </w:rPr>
        <w:t xml:space="preserve">财产中列支</w:t>
      </w:r>
      <w:r>
        <w:rPr>
          <w:rFonts w:ascii="宋体" w:hAnsi="宋体"/>
          <w:bCs/>
          <w:sz w:val="24"/>
        </w:rPr>
        <w:t xml:space="preserve">。</w:t>
      </w:r>
      <w:r/>
    </w:p>
    <w:p>
      <w:pPr>
        <w:pStyle w:val="369"/>
        <w:ind w:firstLine="480"/>
        <w:snapToGrid w:val="1"/>
        <w:spacing w:lineRule="auto" w:line="360"/>
        <w:rPr>
          <w:rFonts w:ascii="宋体" w:hAnsi="宋体"/>
          <w:bCs/>
          <w:sz w:val="24"/>
        </w:rPr>
      </w:pPr>
      <w:r/>
      <w:bookmarkStart w:id="222" w:name="_Toc1357"/>
      <w:r>
        <w:rPr>
          <w:rFonts w:ascii="宋体" w:hAnsi="宋体"/>
          <w:bCs/>
          <w:sz w:val="24"/>
        </w:rPr>
        <w:t xml:space="preserve">（四）管理人与托管人同时更换的条件和程序</w:t>
      </w:r>
      <w:bookmarkEnd w:id="222"/>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w:t>
      </w:r>
      <w:r>
        <w:rPr>
          <w:rFonts w:ascii="宋体" w:hAnsi="宋体"/>
          <w:bCs/>
          <w:sz w:val="24"/>
        </w:rPr>
        <w:t xml:space="preserve">提名：如果管理人和托管人同时更换，由单独或合计持有</w:t>
      </w:r>
      <w:r>
        <w:rPr>
          <w:rFonts w:ascii="宋体" w:hAnsi="宋体"/>
          <w:bCs/>
          <w:sz w:val="24"/>
        </w:rPr>
        <w:t xml:space="preserve">集合计划</w:t>
      </w:r>
      <w:r>
        <w:rPr>
          <w:rFonts w:ascii="宋体" w:hAnsi="宋体"/>
          <w:bCs/>
          <w:sz w:val="24"/>
        </w:rPr>
        <w:t xml:space="preserve">总份额</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）的集合计划份额持有人提名新的管理人和托管人；</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w:t>
      </w:r>
      <w:r>
        <w:rPr>
          <w:rFonts w:ascii="宋体" w:hAnsi="宋体"/>
          <w:bCs/>
          <w:sz w:val="24"/>
        </w:rPr>
        <w:t xml:space="preserve">管理人和托管人的更换分别按上述程序进行；</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w:t>
      </w:r>
      <w:r>
        <w:rPr>
          <w:rFonts w:ascii="宋体" w:hAnsi="宋体"/>
          <w:bCs/>
          <w:sz w:val="24"/>
        </w:rPr>
        <w:t xml:space="preserve">公告：新任管理人和新任托管人应在更</w:t>
      </w:r>
      <w:r>
        <w:rPr>
          <w:rFonts w:ascii="宋体" w:hAnsi="宋体"/>
          <w:bCs/>
          <w:sz w:val="24"/>
        </w:rPr>
        <w:t xml:space="preserve">换管理人和托管人的集合计划份额持有人大会决议</w:t>
      </w:r>
      <w:r>
        <w:rPr>
          <w:rFonts w:ascii="宋体" w:hAnsi="宋体"/>
          <w:bCs/>
          <w:sz w:val="24"/>
        </w:rPr>
        <w:t xml:space="preserve">生效</w:t>
      </w:r>
      <w:r>
        <w:rPr>
          <w:rFonts w:ascii="宋体" w:hAnsi="宋体"/>
          <w:bCs/>
          <w:sz w:val="24"/>
        </w:rPr>
        <w:t xml:space="preserve">后2日内在规定媒介上联合公告。</w:t>
      </w:r>
      <w:r/>
    </w:p>
    <w:p>
      <w:pPr>
        <w:pStyle w:val="369"/>
        <w:ind w:firstLine="480"/>
        <w:snapToGrid w:val="1"/>
        <w:spacing w:lineRule="auto" w:line="360"/>
        <w:rPr>
          <w:rFonts w:ascii="宋体" w:hAnsi="宋体"/>
          <w:bCs/>
          <w:color w:val="000000"/>
          <w:sz w:val="24"/>
        </w:rPr>
      </w:pPr>
      <w:r>
        <w:rPr>
          <w:rFonts w:ascii="宋体" w:hAnsi="宋体"/>
          <w:bCs/>
          <w:color w:val="000000"/>
          <w:sz w:val="24"/>
        </w:rPr>
        <w:t xml:space="preserve">三、新任或临时管理人接收</w:t>
      </w:r>
      <w:r>
        <w:rPr>
          <w:rFonts w:ascii="宋体" w:hAnsi="宋体"/>
          <w:bCs/>
          <w:sz w:val="24"/>
        </w:rPr>
        <w:t xml:space="preserve">集合计划</w:t>
      </w:r>
      <w:r>
        <w:rPr>
          <w:rFonts w:ascii="宋体" w:hAnsi="宋体"/>
          <w:bCs/>
          <w:color w:val="000000"/>
          <w:sz w:val="24"/>
        </w:rPr>
        <w:t xml:space="preserve">管理业务前或新任或临时托管人接收</w:t>
      </w:r>
      <w:r>
        <w:rPr>
          <w:rFonts w:ascii="宋体" w:hAnsi="宋体"/>
          <w:bCs/>
          <w:sz w:val="24"/>
        </w:rPr>
        <w:t xml:space="preserve">集合计划</w:t>
      </w:r>
      <w:r>
        <w:rPr>
          <w:rFonts w:ascii="宋体" w:hAnsi="宋体"/>
          <w:bCs/>
          <w:color w:val="000000"/>
          <w:sz w:val="24"/>
        </w:rPr>
        <w:t xml:space="preserve">财产和</w:t>
      </w:r>
      <w:r>
        <w:rPr>
          <w:rFonts w:ascii="宋体" w:hAnsi="宋体"/>
          <w:bCs/>
          <w:sz w:val="24"/>
        </w:rPr>
        <w:t xml:space="preserve">集合计划</w:t>
      </w:r>
      <w:r>
        <w:rPr>
          <w:rFonts w:ascii="宋体" w:hAnsi="宋体"/>
          <w:bCs/>
          <w:color w:val="000000"/>
          <w:sz w:val="24"/>
        </w:rPr>
        <w:t xml:space="preserve">托管业务前，原任管理人或原任托管人应依据法律法规和《集合计划合同》的规定继续履行相关职责，并保证不对</w:t>
      </w:r>
      <w:r>
        <w:rPr>
          <w:rFonts w:ascii="宋体" w:hAnsi="宋体"/>
          <w:bCs/>
          <w:sz w:val="24"/>
        </w:rPr>
        <w:t xml:space="preserve">集合计划</w:t>
      </w:r>
      <w:r>
        <w:rPr>
          <w:rFonts w:ascii="宋体" w:hAnsi="宋体"/>
          <w:bCs/>
          <w:color w:val="000000"/>
          <w:sz w:val="24"/>
        </w:rPr>
        <w:t xml:space="preserve">份额持有人的利益造成损害。原任管理人或原任托管人在继续履行相关职责期间，仍有权按照本合同的规定收取</w:t>
      </w:r>
      <w:r>
        <w:rPr>
          <w:rFonts w:ascii="宋体" w:hAnsi="宋体"/>
          <w:bCs/>
          <w:sz w:val="24"/>
        </w:rPr>
        <w:t xml:space="preserve">集合计划</w:t>
      </w:r>
      <w:r>
        <w:rPr>
          <w:rFonts w:ascii="宋体" w:hAnsi="宋体"/>
          <w:bCs/>
          <w:color w:val="000000"/>
          <w:sz w:val="24"/>
        </w:rPr>
        <w:t xml:space="preserve">管理费或</w:t>
      </w:r>
      <w:r>
        <w:rPr>
          <w:rFonts w:ascii="宋体" w:hAnsi="宋体"/>
          <w:bCs/>
          <w:sz w:val="24"/>
        </w:rPr>
        <w:t xml:space="preserve">集合计划</w:t>
      </w:r>
      <w:r>
        <w:rPr>
          <w:rFonts w:ascii="宋体" w:hAnsi="宋体"/>
          <w:bCs/>
          <w:color w:val="000000"/>
          <w:sz w:val="24"/>
        </w:rPr>
        <w:t xml:space="preserve">托管费。</w:t>
      </w:r>
      <w:r>
        <w:rPr>
          <w:rFonts w:ascii="宋体" w:hAnsi="宋体"/>
          <w:bCs/>
          <w:color w:val="000000"/>
          <w:sz w:val="24"/>
        </w:rPr>
      </w:r>
      <w:r/>
    </w:p>
    <w:p>
      <w:pPr>
        <w:pStyle w:val="369"/>
        <w:ind w:firstLine="480"/>
        <w:snapToGrid w:val="1"/>
        <w:spacing w:lineRule="auto" w:line="360"/>
        <w:rPr>
          <w:rFonts w:ascii="宋体" w:hAnsi="宋体"/>
          <w:bCs/>
          <w:sz w:val="24"/>
        </w:rPr>
      </w:pPr>
      <w:r>
        <w:rPr>
          <w:rFonts w:ascii="宋体" w:hAnsi="宋体"/>
          <w:bCs/>
          <w:sz w:val="24"/>
        </w:rPr>
        <w:t xml:space="preserve">四、本部分关于管理人、托管人更换条件和程序的约定，凡是直接引用法律法规</w:t>
      </w:r>
      <w:r>
        <w:rPr>
          <w:rFonts w:ascii="宋体" w:hAnsi="宋体"/>
          <w:sz w:val="24"/>
        </w:rPr>
        <w:t xml:space="preserve">或监管规则</w:t>
      </w:r>
      <w:r>
        <w:rPr>
          <w:rFonts w:ascii="宋体" w:hAnsi="宋体"/>
          <w:bCs/>
          <w:sz w:val="24"/>
        </w:rPr>
        <w:t xml:space="preserve">的部分，如将来法律法规</w:t>
      </w:r>
      <w:r>
        <w:rPr>
          <w:rFonts w:ascii="宋体" w:hAnsi="宋体"/>
          <w:sz w:val="24"/>
        </w:rPr>
        <w:t xml:space="preserve">或监</w:t>
      </w:r>
      <w:r>
        <w:rPr>
          <w:rFonts w:ascii="宋体" w:hAnsi="宋体"/>
          <w:sz w:val="24"/>
        </w:rPr>
        <w:t xml:space="preserve">管规则</w:t>
      </w:r>
      <w:r>
        <w:rPr>
          <w:rFonts w:ascii="宋体" w:hAnsi="宋体"/>
          <w:bCs/>
          <w:sz w:val="24"/>
        </w:rPr>
        <w:t xml:space="preserve">修改导致相关内容被取消或变更的，管理人与托管</w:t>
      </w:r>
      <w:r>
        <w:rPr>
          <w:rFonts w:ascii="宋体" w:hAnsi="宋体"/>
          <w:bCs/>
          <w:sz w:val="24"/>
        </w:rPr>
        <w:t xml:space="preserve">人协商一致并提前公告后，可直接对相应内容进行修改和调整，无需召开</w:t>
      </w:r>
      <w:r>
        <w:rPr>
          <w:rFonts w:ascii="宋体" w:hAnsi="宋体"/>
          <w:bCs/>
          <w:sz w:val="24"/>
        </w:rPr>
        <w:t xml:space="preserve">集合计划</w:t>
      </w:r>
      <w:r>
        <w:rPr>
          <w:rFonts w:ascii="宋体" w:hAnsi="宋体"/>
          <w:bCs/>
          <w:sz w:val="24"/>
        </w:rPr>
        <w:t xml:space="preserve">份额持有人大会审议。</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r>
      <w:r/>
    </w:p>
    <w:p>
      <w:pPr>
        <w:pStyle w:val="370"/>
        <w:jc w:val="center"/>
        <w:snapToGrid w:val="1"/>
        <w:spacing w:after="0" w:before="0"/>
        <w:rPr>
          <w:rFonts w:hAnsi="宋体"/>
          <w:color w:val="000000"/>
          <w:sz w:val="30"/>
        </w:rPr>
      </w:pPr>
      <w:r>
        <w:rPr>
          <w:rFonts w:hAnsi="宋体"/>
          <w:b w:val="false"/>
          <w:bCs/>
          <w:color w:val="000000"/>
        </w:rPr>
        <w:br w:type="page"/>
      </w:r>
      <w:bookmarkStart w:id="223" w:name="_Toc8791"/>
      <w:r/>
      <w:bookmarkStart w:id="224" w:name="_Toc3329"/>
      <w:r/>
      <w:bookmarkStart w:id="225" w:name="_Toc123112238"/>
      <w:r/>
      <w:bookmarkStart w:id="226" w:name="_Toc123102457"/>
      <w:r/>
      <w:bookmarkStart w:id="227" w:name="_Toc139991740"/>
      <w:r/>
      <w:bookmarkStart w:id="228" w:name="_Toc141703890"/>
      <w:r/>
      <w:bookmarkStart w:id="229" w:name="_Toc5170"/>
      <w:r/>
      <w:bookmarkStart w:id="230" w:name="_Toc32584"/>
      <w:r/>
      <w:bookmarkStart w:id="231" w:name="_Toc79392622"/>
      <w:r/>
      <w:bookmarkStart w:id="232" w:name="_Toc48649708"/>
      <w:r/>
      <w:bookmarkStart w:id="233" w:name="_Toc98560356"/>
      <w:r/>
      <w:bookmarkStart w:id="234" w:name="_Toc123051456"/>
      <w:r/>
      <w:bookmarkStart w:id="235" w:name="_Toc21237"/>
      <w:r/>
      <w:bookmarkStart w:id="236" w:name="_Toc17198"/>
      <w:r/>
      <w:bookmarkStart w:id="237" w:name="_Toc17920"/>
      <w:r/>
      <w:bookmarkStart w:id="238" w:name="_Toc29408"/>
      <w:r/>
      <w:bookmarkStart w:id="239" w:name="_Toc739"/>
      <w:r/>
      <w:bookmarkStart w:id="240" w:name="_Toc32092"/>
      <w:r/>
      <w:bookmarkStart w:id="241" w:name="_Toc58146341"/>
      <w:r>
        <w:rPr>
          <w:rFonts w:hAnsi="宋体"/>
          <w:color w:val="000000"/>
          <w:sz w:val="30"/>
        </w:rPr>
        <w:t xml:space="preserve">第</w:t>
      </w:r>
      <w:r>
        <w:rPr>
          <w:rFonts w:hAnsi="宋体"/>
          <w:color w:val="000000"/>
          <w:sz w:val="30"/>
        </w:rPr>
        <w:t xml:space="preserve">十</w:t>
      </w:r>
      <w:r>
        <w:rPr>
          <w:rFonts w:hAnsi="宋体"/>
          <w:color w:val="000000"/>
          <w:sz w:val="30"/>
        </w:rPr>
        <w:t xml:space="preserve">部分  </w:t>
      </w:r>
      <w:r>
        <w:rPr>
          <w:rFonts w:hAnsi="宋体"/>
          <w:color w:val="000000"/>
          <w:sz w:val="30"/>
        </w:rPr>
        <w:t xml:space="preserve">集合计划</w:t>
      </w:r>
      <w:r>
        <w:rPr>
          <w:rFonts w:hAnsi="宋体"/>
          <w:color w:val="000000"/>
          <w:sz w:val="30"/>
        </w:rPr>
        <w:t xml:space="preserve">的托管</w:t>
      </w:r>
      <w:bookmarkEnd w:id="223"/>
      <w:r/>
      <w:bookmarkEnd w:id="224"/>
      <w:r/>
      <w:bookmarkEnd w:id="225"/>
      <w:r/>
      <w:bookmarkEnd w:id="226"/>
      <w:r/>
      <w:bookmarkEnd w:id="227"/>
      <w:r/>
      <w:bookmarkEnd w:id="228"/>
      <w:r/>
      <w:bookmarkEnd w:id="229"/>
      <w:r/>
      <w:bookmarkEnd w:id="230"/>
      <w:r/>
      <w:bookmarkEnd w:id="231"/>
      <w:r/>
      <w:bookmarkEnd w:id="232"/>
      <w:r/>
      <w:bookmarkEnd w:id="233"/>
      <w:r/>
      <w:bookmarkEnd w:id="234"/>
      <w:r/>
      <w:bookmarkEnd w:id="235"/>
      <w:r/>
      <w:bookmarkEnd w:id="236"/>
      <w:r/>
      <w:bookmarkEnd w:id="237"/>
      <w:r/>
      <w:bookmarkEnd w:id="238"/>
      <w:r/>
      <w:bookmarkEnd w:id="239"/>
      <w:r/>
      <w:bookmarkEnd w:id="240"/>
      <w:r/>
      <w:bookmarkEnd w:id="241"/>
      <w:r>
        <w:rPr>
          <w:rFonts w:hAnsi="宋体"/>
          <w:color w:val="000000"/>
          <w:sz w:val="30"/>
        </w:rPr>
      </w:r>
      <w:r/>
    </w:p>
    <w:p>
      <w:pPr>
        <w:pStyle w:val="369"/>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托管人和管理人按照《基金法》、《集合计划合同》及其他有关规定订立托管协议。</w:t>
      </w:r>
      <w:r/>
    </w:p>
    <w:p>
      <w:pPr>
        <w:pStyle w:val="369"/>
        <w:ind w:firstLine="480"/>
        <w:snapToGrid w:val="1"/>
        <w:spacing w:lineRule="auto" w:line="360"/>
        <w:rPr>
          <w:rFonts w:ascii="宋体" w:hAnsi="宋体"/>
          <w:bCs/>
          <w:sz w:val="24"/>
        </w:rPr>
      </w:pPr>
      <w:r>
        <w:rPr>
          <w:rFonts w:ascii="宋体" w:hAnsi="宋体"/>
          <w:bCs/>
          <w:sz w:val="24"/>
        </w:rPr>
        <w:t xml:space="preserve">订立托管协议的目的是明确托管人与管理人之间在</w:t>
      </w:r>
      <w:r>
        <w:rPr>
          <w:rFonts w:ascii="宋体" w:hAnsi="宋体"/>
          <w:bCs/>
          <w:sz w:val="24"/>
        </w:rPr>
        <w:t xml:space="preserve">集合计划</w:t>
      </w:r>
      <w:r>
        <w:rPr>
          <w:rFonts w:ascii="宋体" w:hAnsi="宋体"/>
          <w:bCs/>
          <w:sz w:val="24"/>
        </w:rPr>
        <w:t xml:space="preserve">财产的保管、投资运作、净值计算、收益分配、信息披露及相互监督等相关事宜中的权利义务及职责，确保</w:t>
      </w:r>
      <w:r>
        <w:rPr>
          <w:rFonts w:ascii="宋体" w:hAnsi="宋体"/>
          <w:bCs/>
          <w:sz w:val="24"/>
        </w:rPr>
        <w:t xml:space="preserve">集合计划</w:t>
      </w:r>
      <w:r>
        <w:rPr>
          <w:rFonts w:ascii="宋体" w:hAnsi="宋体"/>
          <w:bCs/>
          <w:sz w:val="24"/>
        </w:rPr>
        <w:t xml:space="preserve">财产的安全，保护集合计划份额持有人的合法权益。</w:t>
      </w:r>
      <w:r/>
    </w:p>
    <w:p>
      <w:pPr>
        <w:pStyle w:val="370"/>
        <w:jc w:val="center"/>
        <w:snapToGrid w:val="1"/>
        <w:spacing w:after="0" w:before="0"/>
        <w:rPr>
          <w:rFonts w:hAnsi="宋体"/>
          <w:color w:val="000000"/>
          <w:sz w:val="30"/>
        </w:rPr>
      </w:pPr>
      <w:r>
        <w:rPr>
          <w:rFonts w:hAnsi="宋体"/>
          <w:b w:val="false"/>
          <w:bCs/>
          <w:color w:val="000000"/>
        </w:rPr>
        <w:br w:type="page"/>
      </w:r>
      <w:bookmarkStart w:id="242" w:name="_Toc22674"/>
      <w:r/>
      <w:bookmarkStart w:id="243" w:name="_Toc19520"/>
      <w:r/>
      <w:bookmarkStart w:id="244" w:name="_Toc26084"/>
      <w:r/>
      <w:bookmarkStart w:id="245" w:name="_Toc26383"/>
      <w:r/>
      <w:bookmarkStart w:id="246" w:name="_Toc2255"/>
      <w:r/>
      <w:bookmarkStart w:id="247" w:name="_Toc139991741"/>
      <w:r/>
      <w:bookmarkStart w:id="248" w:name="_Toc123112239"/>
      <w:r/>
      <w:bookmarkStart w:id="249" w:name="_Toc123102458"/>
      <w:r/>
      <w:bookmarkStart w:id="250" w:name="_Toc123051457"/>
      <w:r/>
      <w:bookmarkStart w:id="251" w:name="_Toc98560357"/>
      <w:r/>
      <w:bookmarkStart w:id="252" w:name="_Toc48649710"/>
      <w:r/>
      <w:bookmarkStart w:id="253" w:name="_Toc79392624"/>
      <w:r/>
      <w:bookmarkStart w:id="254" w:name="_Toc26152"/>
      <w:r/>
      <w:bookmarkStart w:id="255" w:name="_Toc21886"/>
      <w:r/>
      <w:bookmarkStart w:id="256" w:name="_Toc14725"/>
      <w:r/>
      <w:bookmarkStart w:id="257" w:name="_Toc16789"/>
      <w:r/>
      <w:bookmarkStart w:id="258" w:name="_Toc141703891"/>
      <w:r/>
      <w:bookmarkStart w:id="259" w:name="_Toc3244"/>
      <w:r/>
      <w:bookmarkStart w:id="260" w:name="_Toc58146342"/>
      <w:r>
        <w:rPr>
          <w:rFonts w:hAnsi="宋体"/>
          <w:color w:val="000000"/>
          <w:sz w:val="30"/>
        </w:rPr>
        <w:t xml:space="preserve">第十</w:t>
      </w:r>
      <w:r>
        <w:rPr>
          <w:rFonts w:hAnsi="宋体"/>
          <w:color w:val="000000"/>
          <w:sz w:val="30"/>
        </w:rPr>
        <w:t xml:space="preserve">一</w:t>
      </w:r>
      <w:r>
        <w:rPr>
          <w:rFonts w:hAnsi="宋体"/>
          <w:color w:val="000000"/>
          <w:sz w:val="30"/>
        </w:rPr>
        <w:t xml:space="preserve">部分  </w:t>
      </w:r>
      <w:r>
        <w:rPr>
          <w:rFonts w:hAnsi="宋体"/>
          <w:color w:val="000000"/>
          <w:sz w:val="30"/>
        </w:rPr>
        <w:t xml:space="preserve">集合计划</w:t>
      </w:r>
      <w:r>
        <w:rPr>
          <w:rFonts w:hAnsi="宋体"/>
          <w:color w:val="000000"/>
          <w:sz w:val="30"/>
        </w:rPr>
        <w:t xml:space="preserve">份额的登记</w:t>
      </w:r>
      <w:bookmarkEnd w:id="242"/>
      <w:r/>
      <w:bookmarkEnd w:id="243"/>
      <w:r/>
      <w:bookmarkEnd w:id="244"/>
      <w:r/>
      <w:bookmarkEnd w:id="245"/>
      <w:r/>
      <w:bookmarkEnd w:id="246"/>
      <w:r/>
      <w:bookmarkEnd w:id="247"/>
      <w:r/>
      <w:bookmarkEnd w:id="248"/>
      <w:r/>
      <w:bookmarkEnd w:id="249"/>
      <w:r/>
      <w:bookmarkEnd w:id="250"/>
      <w:r/>
      <w:bookmarkEnd w:id="251"/>
      <w:r/>
      <w:bookmarkEnd w:id="252"/>
      <w:r/>
      <w:bookmarkEnd w:id="253"/>
      <w:r/>
      <w:bookmarkEnd w:id="254"/>
      <w:r/>
      <w:bookmarkEnd w:id="255"/>
      <w:r/>
      <w:bookmarkEnd w:id="256"/>
      <w:r/>
      <w:bookmarkEnd w:id="257"/>
      <w:r/>
      <w:bookmarkEnd w:id="258"/>
      <w:r/>
      <w:bookmarkEnd w:id="259"/>
      <w:r/>
      <w:bookmarkEnd w:id="260"/>
      <w:r>
        <w:rPr>
          <w:rFonts w:hAnsi="宋体"/>
          <w:color w:val="000000"/>
          <w:sz w:val="30"/>
        </w:rPr>
      </w:r>
      <w:r/>
    </w:p>
    <w:p>
      <w:pPr>
        <w:pStyle w:val="369"/>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的</w:t>
      </w:r>
      <w:r>
        <w:rPr>
          <w:rFonts w:ascii="宋体" w:hAnsi="宋体"/>
          <w:bCs/>
          <w:sz w:val="24"/>
        </w:rPr>
        <w:t xml:space="preserve">登记业务</w:t>
      </w:r>
      <w:r/>
    </w:p>
    <w:p>
      <w:pPr>
        <w:pStyle w:val="369"/>
        <w:ind w:firstLine="480"/>
        <w:snapToGrid w:val="1"/>
        <w:spacing w:lineRule="auto" w:line="360"/>
        <w:rPr>
          <w:rFonts w:ascii="宋体" w:hAnsi="宋体"/>
          <w:bCs/>
          <w:sz w:val="24"/>
        </w:rPr>
      </w:pPr>
      <w:r>
        <w:rPr>
          <w:rFonts w:ascii="宋体" w:hAnsi="宋体"/>
          <w:bCs/>
          <w:sz w:val="24"/>
        </w:rPr>
        <w:t xml:space="preserve">本集合计划的登记业务指本集合计划登记</w:t>
      </w:r>
      <w:r>
        <w:rPr>
          <w:rFonts w:ascii="宋体" w:hAnsi="宋体"/>
          <w:bCs/>
          <w:sz w:val="24"/>
        </w:rPr>
        <w:t xml:space="preserve">、存管、过户、清算和结算业务，具体内容包括投资人</w:t>
      </w:r>
      <w:r>
        <w:rPr>
          <w:rFonts w:ascii="宋体" w:hAnsi="宋体"/>
          <w:bCs/>
          <w:sz w:val="24"/>
        </w:rPr>
        <w:t xml:space="preserve">集合计划</w:t>
      </w:r>
      <w:r>
        <w:rPr>
          <w:rFonts w:ascii="宋体" w:hAnsi="宋体"/>
          <w:bCs/>
          <w:sz w:val="24"/>
        </w:rPr>
        <w:t xml:space="preserve">账户的建立和管理、</w:t>
      </w:r>
      <w:r>
        <w:rPr>
          <w:rFonts w:ascii="宋体" w:hAnsi="宋体"/>
          <w:bCs/>
          <w:sz w:val="24"/>
        </w:rPr>
        <w:t xml:space="preserve">集合计划</w:t>
      </w:r>
      <w:r>
        <w:rPr>
          <w:rFonts w:ascii="宋体" w:hAnsi="宋体"/>
          <w:bCs/>
          <w:sz w:val="24"/>
        </w:rPr>
        <w:t xml:space="preserve">份额登记、</w:t>
      </w:r>
      <w:r>
        <w:rPr>
          <w:rFonts w:ascii="宋体" w:hAnsi="宋体"/>
          <w:bCs/>
          <w:sz w:val="24"/>
        </w:rPr>
        <w:t xml:space="preserve">集合计划</w:t>
      </w:r>
      <w:r>
        <w:rPr>
          <w:rFonts w:ascii="宋体" w:hAnsi="宋体"/>
          <w:bCs/>
          <w:sz w:val="24"/>
        </w:rPr>
        <w:t xml:space="preserve">销售业务的确认、清算和结算、代理发放红利、建立并保管集合计划份额持有人名册</w:t>
      </w:r>
      <w:r>
        <w:rPr>
          <w:rFonts w:ascii="宋体" w:hAnsi="宋体"/>
          <w:bCs/>
          <w:sz w:val="24"/>
        </w:rPr>
        <w:t xml:space="preserve">和办理非交易过户</w:t>
      </w:r>
      <w:r>
        <w:rPr>
          <w:rFonts w:ascii="宋体" w:hAnsi="宋体"/>
          <w:bCs/>
          <w:sz w:val="24"/>
        </w:rPr>
        <w:t xml:space="preserve">等</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二、</w:t>
      </w:r>
      <w:r>
        <w:rPr>
          <w:rFonts w:ascii="宋体" w:hAnsi="宋体"/>
          <w:bCs/>
          <w:sz w:val="24"/>
        </w:rPr>
        <w:t xml:space="preserve">集合计划</w:t>
      </w:r>
      <w:r>
        <w:rPr>
          <w:rFonts w:ascii="宋体" w:hAnsi="宋体"/>
          <w:bCs/>
          <w:sz w:val="24"/>
        </w:rPr>
        <w:t xml:space="preserve">登记业务办理机构</w:t>
      </w:r>
      <w:r/>
    </w:p>
    <w:p>
      <w:pPr>
        <w:pStyle w:val="369"/>
        <w:ind w:firstLine="480"/>
        <w:snapToGrid w:val="1"/>
        <w:spacing w:lineRule="auto" w:line="360"/>
        <w:rPr>
          <w:rFonts w:ascii="宋体" w:hAnsi="宋体"/>
          <w:bCs/>
          <w:sz w:val="24"/>
        </w:rPr>
      </w:pPr>
      <w:r>
        <w:rPr>
          <w:rFonts w:ascii="宋体" w:hAnsi="宋体"/>
          <w:bCs/>
          <w:sz w:val="24"/>
        </w:rPr>
        <w:t xml:space="preserve">本集合计划的登记业务由管理人或管理人委托的其他符合条件的机构办理。管理人委托其他机构办理本集合计划登记业务的，应与代理人签订委托代理协议，以明确管理人和代理机构在投资者</w:t>
      </w:r>
      <w:r>
        <w:rPr>
          <w:rFonts w:ascii="宋体" w:hAnsi="宋体"/>
          <w:bCs/>
          <w:sz w:val="24"/>
        </w:rPr>
        <w:t xml:space="preserve">集合计划</w:t>
      </w:r>
      <w:r>
        <w:rPr>
          <w:rFonts w:ascii="宋体" w:hAnsi="宋体"/>
          <w:bCs/>
          <w:sz w:val="24"/>
        </w:rPr>
        <w:t xml:space="preserve">账户管理、</w:t>
      </w:r>
      <w:r>
        <w:rPr>
          <w:rFonts w:ascii="宋体" w:hAnsi="宋体"/>
          <w:bCs/>
          <w:sz w:val="24"/>
        </w:rPr>
        <w:t xml:space="preserve">集合计划</w:t>
      </w:r>
      <w:r>
        <w:rPr>
          <w:rFonts w:ascii="宋体" w:hAnsi="宋体"/>
          <w:bCs/>
          <w:sz w:val="24"/>
        </w:rPr>
        <w:t xml:space="preserve">份额登记、清算及</w:t>
      </w:r>
      <w:r>
        <w:rPr>
          <w:rFonts w:ascii="宋体" w:hAnsi="宋体"/>
          <w:bCs/>
          <w:sz w:val="24"/>
        </w:rPr>
        <w:t xml:space="preserve">集合计划</w:t>
      </w:r>
      <w:r>
        <w:rPr>
          <w:rFonts w:ascii="宋体" w:hAnsi="宋体"/>
          <w:bCs/>
          <w:sz w:val="24"/>
        </w:rPr>
        <w:t xml:space="preserve">交易确认、发放红利、建</w:t>
      </w:r>
      <w:r>
        <w:rPr>
          <w:rFonts w:ascii="宋体" w:hAnsi="宋体"/>
          <w:bCs/>
          <w:sz w:val="24"/>
        </w:rPr>
        <w:t xml:space="preserve">立并保管集合计划份额持有人名册</w:t>
      </w:r>
      <w:r>
        <w:rPr>
          <w:rFonts w:ascii="宋体" w:hAnsi="宋体"/>
          <w:bCs/>
          <w:sz w:val="24"/>
        </w:rPr>
        <w:t xml:space="preserve">和办理非交易过户</w:t>
      </w:r>
      <w:r>
        <w:rPr>
          <w:rFonts w:ascii="宋体" w:hAnsi="宋体"/>
          <w:bCs/>
          <w:sz w:val="24"/>
        </w:rPr>
        <w:t xml:space="preserve">等事宜中的权利和义务，保护集合计划份额持有人的合法权益。</w:t>
      </w:r>
      <w:r/>
    </w:p>
    <w:p>
      <w:pPr>
        <w:pStyle w:val="369"/>
        <w:ind w:firstLine="480"/>
        <w:snapToGrid w:val="1"/>
        <w:spacing w:lineRule="auto" w:line="360"/>
        <w:rPr>
          <w:rFonts w:ascii="宋体" w:hAnsi="宋体"/>
          <w:bCs/>
          <w:sz w:val="24"/>
        </w:rPr>
      </w:pPr>
      <w:r>
        <w:rPr>
          <w:rFonts w:ascii="宋体" w:hAnsi="宋体"/>
          <w:bCs/>
          <w:sz w:val="24"/>
        </w:rPr>
        <w:t xml:space="preserve">三、集合计划登记机构的权利</w:t>
      </w:r>
      <w:bookmarkStart w:id="261" w:name="_Hlt88820748"/>
      <w:r/>
      <w:bookmarkEnd w:id="261"/>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集合计划登记机构享有以下权利：</w:t>
      </w:r>
      <w:r/>
    </w:p>
    <w:p>
      <w:pPr>
        <w:pStyle w:val="369"/>
        <w:ind w:firstLine="480"/>
        <w:snapToGrid w:val="1"/>
        <w:spacing w:lineRule="auto" w:line="360"/>
        <w:rPr>
          <w:rFonts w:ascii="宋体" w:hAnsi="宋体"/>
          <w:bCs/>
          <w:sz w:val="24"/>
        </w:rPr>
      </w:pPr>
      <w:r>
        <w:rPr>
          <w:rFonts w:ascii="宋体" w:hAnsi="宋体"/>
          <w:bCs/>
          <w:sz w:val="24"/>
        </w:rPr>
        <w:t xml:space="preserve">1、取得登记费；</w:t>
      </w:r>
      <w:r/>
    </w:p>
    <w:p>
      <w:pPr>
        <w:pStyle w:val="369"/>
        <w:ind w:firstLine="480"/>
        <w:snapToGrid w:val="1"/>
        <w:spacing w:lineRule="auto" w:line="360"/>
        <w:rPr>
          <w:rFonts w:ascii="宋体" w:hAnsi="宋体"/>
          <w:bCs/>
          <w:sz w:val="24"/>
        </w:rPr>
      </w:pPr>
      <w:r>
        <w:rPr>
          <w:rFonts w:ascii="宋体" w:hAnsi="宋体"/>
          <w:bCs/>
          <w:sz w:val="24"/>
        </w:rPr>
        <w:t xml:space="preserve">2、建立和管理投资者</w:t>
      </w:r>
      <w:r>
        <w:rPr>
          <w:rFonts w:ascii="宋体" w:hAnsi="宋体"/>
          <w:bCs/>
          <w:sz w:val="24"/>
        </w:rPr>
        <w:t xml:space="preserve">集合计划</w:t>
      </w:r>
      <w:r>
        <w:rPr>
          <w:rFonts w:ascii="宋体" w:hAnsi="宋体"/>
          <w:bCs/>
          <w:sz w:val="24"/>
        </w:rPr>
        <w:t xml:space="preserve">账户；</w:t>
      </w:r>
      <w:r/>
    </w:p>
    <w:p>
      <w:pPr>
        <w:pStyle w:val="369"/>
        <w:ind w:firstLine="480"/>
        <w:snapToGrid w:val="1"/>
        <w:spacing w:lineRule="auto" w:line="360"/>
        <w:rPr>
          <w:rFonts w:ascii="宋体" w:hAnsi="宋体"/>
          <w:bCs/>
          <w:sz w:val="24"/>
        </w:rPr>
      </w:pPr>
      <w:r>
        <w:rPr>
          <w:rFonts w:ascii="宋体" w:hAnsi="宋体"/>
          <w:bCs/>
          <w:sz w:val="24"/>
        </w:rPr>
        <w:t xml:space="preserve">3、保管集合计划份额持有人开户资料、交易资料、集合计划份额持有人名册等；</w:t>
      </w:r>
      <w:r/>
    </w:p>
    <w:p>
      <w:pPr>
        <w:pStyle w:val="369"/>
        <w:ind w:firstLine="480"/>
        <w:snapToGrid w:val="1"/>
        <w:spacing w:lineRule="auto" w:line="360"/>
        <w:rPr>
          <w:rFonts w:ascii="宋体" w:hAnsi="宋体"/>
          <w:bCs/>
          <w:sz w:val="24"/>
        </w:rPr>
      </w:pPr>
      <w:r>
        <w:rPr>
          <w:rFonts w:ascii="宋体" w:hAnsi="宋体"/>
          <w:bCs/>
          <w:sz w:val="24"/>
        </w:rPr>
        <w:t xml:space="preserve">4、在法律法规允许的范围内，对登记业务的办理时间</w:t>
      </w:r>
      <w:r>
        <w:rPr>
          <w:rFonts w:ascii="宋体" w:hAnsi="宋体"/>
          <w:bCs/>
          <w:sz w:val="24"/>
        </w:rPr>
        <w:t xml:space="preserve">及规则</w:t>
      </w:r>
      <w:r>
        <w:rPr>
          <w:rFonts w:ascii="宋体" w:hAnsi="宋体"/>
          <w:bCs/>
          <w:sz w:val="24"/>
        </w:rPr>
        <w:t xml:space="preserve">进行调整，并依照有关规定于开始实施前在规定媒介上公告；</w:t>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法律法规及中国证监会规定的和《集合计划合同》约定的其他</w:t>
      </w:r>
      <w:r>
        <w:rPr>
          <w:rFonts w:ascii="宋体" w:hAnsi="宋体"/>
          <w:bCs/>
          <w:sz w:val="24"/>
        </w:rPr>
        <w:t xml:space="preserve">权利。</w:t>
      </w:r>
      <w:r/>
    </w:p>
    <w:p>
      <w:pPr>
        <w:pStyle w:val="369"/>
        <w:ind w:firstLine="480"/>
        <w:snapToGrid w:val="1"/>
        <w:spacing w:lineRule="auto" w:line="360"/>
        <w:rPr>
          <w:rFonts w:ascii="宋体" w:hAnsi="宋体"/>
          <w:bCs/>
          <w:sz w:val="24"/>
        </w:rPr>
      </w:pPr>
      <w:r>
        <w:rPr>
          <w:rFonts w:ascii="宋体" w:hAnsi="宋体"/>
          <w:bCs/>
          <w:sz w:val="24"/>
        </w:rPr>
        <w:t xml:space="preserve">四、集合计划登记机构的义务</w:t>
      </w:r>
      <w:r/>
    </w:p>
    <w:p>
      <w:pPr>
        <w:pStyle w:val="369"/>
        <w:ind w:firstLine="480"/>
        <w:snapToGrid w:val="1"/>
        <w:spacing w:lineRule="auto" w:line="360"/>
        <w:rPr>
          <w:rFonts w:ascii="宋体" w:hAnsi="宋体"/>
          <w:bCs/>
          <w:sz w:val="24"/>
        </w:rPr>
      </w:pPr>
      <w:r>
        <w:rPr>
          <w:rFonts w:ascii="宋体" w:hAnsi="宋体"/>
          <w:bCs/>
          <w:sz w:val="24"/>
        </w:rPr>
        <w:t xml:space="preserve">集合计划登记机构</w:t>
      </w:r>
      <w:r>
        <w:rPr>
          <w:rFonts w:ascii="宋体" w:hAnsi="宋体"/>
          <w:bCs/>
          <w:sz w:val="24"/>
        </w:rPr>
        <w:t xml:space="preserve">承担以下义务：</w:t>
      </w:r>
      <w:r/>
    </w:p>
    <w:p>
      <w:pPr>
        <w:pStyle w:val="369"/>
        <w:ind w:firstLine="480"/>
        <w:snapToGrid w:val="1"/>
        <w:spacing w:lineRule="auto" w:line="360"/>
        <w:rPr>
          <w:rFonts w:ascii="宋体" w:hAnsi="宋体"/>
          <w:bCs/>
          <w:sz w:val="24"/>
        </w:rPr>
      </w:pPr>
      <w:r>
        <w:rPr>
          <w:rFonts w:ascii="宋体" w:hAnsi="宋体"/>
          <w:bCs/>
          <w:sz w:val="24"/>
        </w:rPr>
        <w:t xml:space="preserve">1、配备足够的专业人员办</w:t>
      </w:r>
      <w:r>
        <w:rPr>
          <w:rFonts w:ascii="宋体" w:hAnsi="宋体"/>
          <w:bCs/>
          <w:sz w:val="24"/>
        </w:rPr>
        <w:t xml:space="preserve">理本集合计划份额的登记业务；</w:t>
      </w:r>
      <w:r/>
    </w:p>
    <w:p>
      <w:pPr>
        <w:pStyle w:val="369"/>
        <w:ind w:firstLine="480"/>
        <w:snapToGrid w:val="1"/>
        <w:spacing w:lineRule="auto" w:line="360"/>
        <w:rPr>
          <w:rFonts w:ascii="宋体" w:hAnsi="宋体"/>
          <w:bCs/>
          <w:sz w:val="24"/>
        </w:rPr>
      </w:pPr>
      <w:r>
        <w:rPr>
          <w:rFonts w:ascii="宋体" w:hAnsi="宋体"/>
          <w:bCs/>
          <w:sz w:val="24"/>
        </w:rPr>
        <w:t xml:space="preserve">2、严格按照法律法规和《集合计划合同》规定的条件办理本集合计划份额的登记业务；</w:t>
      </w:r>
      <w:r/>
    </w:p>
    <w:p>
      <w:pPr>
        <w:pStyle w:val="369"/>
        <w:ind w:firstLine="480"/>
        <w:snapToGrid w:val="1"/>
        <w:spacing w:lineRule="auto" w:line="360"/>
        <w:rPr>
          <w:rFonts w:ascii="宋体" w:hAnsi="宋体"/>
          <w:bCs/>
          <w:sz w:val="24"/>
        </w:rPr>
      </w:pPr>
      <w:r>
        <w:rPr>
          <w:rFonts w:ascii="宋体" w:hAnsi="宋体"/>
          <w:bCs/>
          <w:sz w:val="24"/>
        </w:rPr>
        <w:t xml:space="preserve">3、妥善保存登记数据，并将集合计划份额持有人名称、身份信息及</w:t>
      </w:r>
      <w:r>
        <w:rPr>
          <w:rFonts w:ascii="宋体" w:hAnsi="宋体"/>
          <w:bCs/>
          <w:sz w:val="24"/>
        </w:rPr>
        <w:t xml:space="preserve">集合计划</w:t>
      </w:r>
      <w:r>
        <w:rPr>
          <w:rFonts w:ascii="宋体" w:hAnsi="宋体"/>
          <w:bCs/>
          <w:sz w:val="24"/>
        </w:rPr>
        <w:t xml:space="preserve">份额明细等数据备份至中国证监会认定的机构。其保存期限自</w:t>
      </w:r>
      <w:r>
        <w:rPr>
          <w:rFonts w:ascii="宋体" w:hAnsi="宋体"/>
          <w:bCs/>
          <w:sz w:val="24"/>
        </w:rPr>
        <w:t xml:space="preserve">集合计划</w:t>
      </w:r>
      <w:r>
        <w:rPr>
          <w:rFonts w:ascii="宋体" w:hAnsi="宋体"/>
          <w:bCs/>
          <w:sz w:val="24"/>
        </w:rPr>
        <w:t xml:space="preserve">账户销户之日起不得少于20年；</w:t>
      </w:r>
      <w:r/>
    </w:p>
    <w:p>
      <w:pPr>
        <w:pStyle w:val="369"/>
        <w:ind w:firstLine="480"/>
        <w:snapToGrid w:val="1"/>
        <w:spacing w:lineRule="auto" w:line="360"/>
        <w:rPr>
          <w:rFonts w:ascii="宋体" w:hAnsi="宋体"/>
          <w:bCs/>
          <w:sz w:val="24"/>
        </w:rPr>
      </w:pPr>
      <w:r>
        <w:rPr>
          <w:rFonts w:ascii="宋体" w:hAnsi="宋体"/>
          <w:bCs/>
          <w:sz w:val="24"/>
        </w:rPr>
        <w:t xml:space="preserve">4、对集合计划份额持有人的</w:t>
      </w:r>
      <w:r>
        <w:rPr>
          <w:rFonts w:ascii="宋体" w:hAnsi="宋体"/>
          <w:bCs/>
          <w:sz w:val="24"/>
        </w:rPr>
        <w:t xml:space="preserve">集合计划</w:t>
      </w:r>
      <w:r>
        <w:rPr>
          <w:rFonts w:ascii="宋体" w:hAnsi="宋体"/>
          <w:bCs/>
          <w:sz w:val="24"/>
        </w:rPr>
        <w:t xml:space="preserve">账户信息负有保密义务，因违反该保密义务对投资者或</w:t>
      </w:r>
      <w:r>
        <w:rPr>
          <w:rFonts w:ascii="宋体" w:hAnsi="宋体"/>
          <w:bCs/>
          <w:sz w:val="24"/>
        </w:rPr>
        <w:t xml:space="preserve">集合计划</w:t>
      </w:r>
      <w:r>
        <w:rPr>
          <w:rFonts w:ascii="宋体" w:hAnsi="宋体"/>
          <w:bCs/>
          <w:sz w:val="24"/>
        </w:rPr>
        <w:t xml:space="preserve">带来的损失，须承担相应的赔偿责任，但司法强制检查情形及</w:t>
      </w:r>
      <w:r>
        <w:rPr>
          <w:rFonts w:ascii="宋体" w:hAnsi="宋体"/>
          <w:bCs/>
          <w:sz w:val="24"/>
        </w:rPr>
        <w:t xml:space="preserve">法律法规及中国证监会规定的和《集合计划合同》约定的其他</w:t>
      </w:r>
      <w:r>
        <w:rPr>
          <w:rFonts w:ascii="宋体" w:hAnsi="宋体"/>
          <w:bCs/>
          <w:sz w:val="24"/>
        </w:rPr>
        <w:t xml:space="preserve">情</w:t>
      </w:r>
      <w:r>
        <w:rPr>
          <w:rFonts w:ascii="宋体" w:hAnsi="宋体"/>
          <w:bCs/>
          <w:sz w:val="24"/>
        </w:rPr>
        <w:t xml:space="preserve">形除外；</w:t>
      </w:r>
      <w:r/>
    </w:p>
    <w:p>
      <w:pPr>
        <w:pStyle w:val="369"/>
        <w:ind w:firstLine="480"/>
        <w:snapToGrid w:val="1"/>
        <w:spacing w:lineRule="auto" w:line="360"/>
        <w:rPr>
          <w:rFonts w:ascii="宋体" w:hAnsi="宋体"/>
          <w:bCs/>
          <w:sz w:val="24"/>
        </w:rPr>
      </w:pPr>
      <w:r>
        <w:rPr>
          <w:rFonts w:ascii="宋体" w:hAnsi="宋体"/>
          <w:bCs/>
          <w:sz w:val="24"/>
        </w:rPr>
        <w:t xml:space="preserve">5、按《集合计划合同》及招募说明书规</w:t>
      </w:r>
      <w:r>
        <w:rPr>
          <w:rFonts w:ascii="宋体" w:hAnsi="宋体"/>
          <w:bCs/>
          <w:sz w:val="24"/>
        </w:rPr>
        <w:t xml:space="preserve">定为投资者办理非交易过户业务、提供其他必要的服务；</w:t>
      </w:r>
      <w:r/>
    </w:p>
    <w:p>
      <w:pPr>
        <w:pStyle w:val="369"/>
        <w:ind w:firstLine="480"/>
        <w:snapToGrid w:val="1"/>
        <w:spacing w:lineRule="auto" w:line="360"/>
        <w:rPr>
          <w:rFonts w:ascii="宋体" w:hAnsi="宋体"/>
          <w:bCs/>
          <w:sz w:val="24"/>
        </w:rPr>
      </w:pPr>
      <w:r>
        <w:rPr>
          <w:rFonts w:ascii="宋体" w:hAnsi="宋体"/>
          <w:bCs/>
          <w:sz w:val="24"/>
        </w:rPr>
        <w:t xml:space="preserve">6、接受管理人的监督；</w:t>
      </w:r>
      <w:r/>
    </w:p>
    <w:p>
      <w:pPr>
        <w:pStyle w:val="369"/>
        <w:ind w:firstLine="480"/>
        <w:snapToGrid w:val="1"/>
        <w:spacing w:lineRule="auto" w:line="360"/>
        <w:rPr>
          <w:rFonts w:ascii="宋体" w:hAnsi="宋体"/>
          <w:bCs/>
          <w:sz w:val="24"/>
        </w:rPr>
      </w:pPr>
      <w:r>
        <w:rPr>
          <w:rFonts w:ascii="宋体" w:hAnsi="宋体"/>
          <w:bCs/>
          <w:sz w:val="24"/>
        </w:rPr>
        <w:t xml:space="preserve">7、</w:t>
      </w:r>
      <w:r>
        <w:rPr>
          <w:rFonts w:ascii="宋体" w:hAnsi="宋体"/>
          <w:bCs/>
          <w:sz w:val="24"/>
        </w:rPr>
        <w:t xml:space="preserve">法律法规及中国证监会规定的和《集合计划合同》约定的其他</w:t>
      </w:r>
      <w:r>
        <w:rPr>
          <w:rFonts w:ascii="宋体" w:hAnsi="宋体"/>
          <w:bCs/>
          <w:sz w:val="24"/>
        </w:rPr>
        <w:t xml:space="preserve">义务。</w:t>
      </w:r>
      <w:r/>
    </w:p>
    <w:p>
      <w:pPr>
        <w:pStyle w:val="370"/>
        <w:jc w:val="center"/>
        <w:snapToGrid w:val="1"/>
        <w:spacing w:after="0" w:before="0"/>
        <w:rPr>
          <w:rFonts w:hAnsi="宋体"/>
          <w:color w:val="000000"/>
          <w:sz w:val="30"/>
        </w:rPr>
      </w:pPr>
      <w:r>
        <w:rPr>
          <w:rFonts w:hAnsi="宋体"/>
          <w:b w:val="false"/>
          <w:bCs/>
          <w:color w:val="000000"/>
        </w:rPr>
        <w:br w:type="page"/>
      </w:r>
      <w:bookmarkStart w:id="262" w:name="_Toc11351"/>
      <w:r/>
      <w:bookmarkStart w:id="263" w:name="_Toc5477"/>
      <w:r/>
      <w:bookmarkStart w:id="264" w:name="_Toc3872"/>
      <w:r/>
      <w:bookmarkStart w:id="265" w:name="_Toc21917"/>
      <w:r/>
      <w:bookmarkStart w:id="266" w:name="_Toc2981"/>
      <w:r/>
      <w:bookmarkStart w:id="267" w:name="_Toc16437"/>
      <w:r/>
      <w:bookmarkStart w:id="268" w:name="_Toc801"/>
      <w:r/>
      <w:bookmarkStart w:id="269" w:name="_Toc578"/>
      <w:r/>
      <w:bookmarkStart w:id="270" w:name="_Toc22538"/>
      <w:r/>
      <w:bookmarkStart w:id="271" w:name="_Toc11395"/>
      <w:r/>
      <w:bookmarkStart w:id="272" w:name="_Toc58146343"/>
      <w:r>
        <w:rPr>
          <w:rFonts w:hAnsi="宋体"/>
          <w:color w:val="000000"/>
          <w:sz w:val="30"/>
        </w:rPr>
        <w:t xml:space="preserve">第十</w:t>
      </w:r>
      <w:r>
        <w:rPr>
          <w:rFonts w:hAnsi="宋体"/>
          <w:color w:val="000000"/>
          <w:sz w:val="30"/>
        </w:rPr>
        <w:t xml:space="preserve">二</w:t>
      </w:r>
      <w:r>
        <w:rPr>
          <w:rFonts w:hAnsi="宋体"/>
          <w:color w:val="000000"/>
          <w:sz w:val="30"/>
        </w:rPr>
        <w:t xml:space="preserve">部分  </w:t>
      </w:r>
      <w:r>
        <w:rPr>
          <w:rFonts w:hAnsi="宋体"/>
          <w:color w:val="000000"/>
          <w:sz w:val="30"/>
        </w:rPr>
        <w:t xml:space="preserve">集合计划</w:t>
      </w:r>
      <w:r>
        <w:rPr>
          <w:rFonts w:hAnsi="宋体"/>
          <w:color w:val="000000"/>
          <w:sz w:val="30"/>
        </w:rPr>
        <w:t xml:space="preserve">的投资</w:t>
      </w:r>
      <w:bookmarkEnd w:id="262"/>
      <w:r/>
      <w:bookmarkEnd w:id="263"/>
      <w:r/>
      <w:bookmarkEnd w:id="264"/>
      <w:r/>
      <w:bookmarkEnd w:id="265"/>
      <w:r/>
      <w:bookmarkEnd w:id="266"/>
      <w:r/>
      <w:bookmarkEnd w:id="267"/>
      <w:r/>
      <w:bookmarkEnd w:id="268"/>
      <w:r/>
      <w:bookmarkEnd w:id="269"/>
      <w:r/>
      <w:bookmarkEnd w:id="270"/>
      <w:r/>
      <w:bookmarkEnd w:id="271"/>
      <w:r/>
      <w:bookmarkEnd w:id="272"/>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一、投资目标</w:t>
      </w:r>
      <w:r/>
    </w:p>
    <w:p>
      <w:pPr>
        <w:pStyle w:val="369"/>
        <w:ind w:firstLine="480"/>
        <w:snapToGrid w:val="1"/>
        <w:spacing w:lineRule="auto" w:line="360"/>
        <w:rPr>
          <w:rFonts w:ascii="宋体" w:hAnsi="宋体"/>
          <w:bCs/>
          <w:sz w:val="24"/>
        </w:rPr>
      </w:pPr>
      <w:r>
        <w:rPr>
          <w:rFonts w:ascii="宋体" w:hAnsi="宋体"/>
          <w:bCs/>
          <w:sz w:val="24"/>
        </w:rPr>
        <w:t xml:space="preserve">本集合计划在严格控制风险的基础上，力争实现超过业绩比较基准的投资回报。</w:t>
      </w:r>
      <w:r/>
    </w:p>
    <w:p>
      <w:pPr>
        <w:pStyle w:val="369"/>
        <w:ind w:firstLine="480"/>
        <w:snapToGrid w:val="1"/>
        <w:spacing w:lineRule="auto" w:line="360"/>
        <w:rPr>
          <w:rFonts w:ascii="宋体" w:hAnsi="宋体"/>
          <w:bCs/>
          <w:sz w:val="24"/>
        </w:rPr>
      </w:pPr>
      <w:r>
        <w:rPr>
          <w:rFonts w:ascii="宋体" w:hAnsi="宋体"/>
          <w:bCs/>
          <w:sz w:val="24"/>
        </w:rPr>
        <w:t xml:space="preserve">二、投资范围</w:t>
      </w:r>
      <w:r/>
    </w:p>
    <w:p>
      <w:pPr>
        <w:pStyle w:val="369"/>
        <w:ind w:firstLine="480"/>
        <w:jc w:val="left"/>
        <w:snapToGrid w:val="1"/>
        <w:spacing w:lineRule="auto" w:line="360"/>
        <w:rPr>
          <w:rFonts w:ascii="宋体" w:hAnsi="宋体"/>
          <w:bCs/>
          <w:sz w:val="24"/>
        </w:rPr>
      </w:pPr>
      <w:r>
        <w:rPr>
          <w:rFonts w:ascii="宋体" w:hAnsi="宋体"/>
          <w:bCs/>
          <w:sz w:val="24"/>
        </w:rPr>
        <w:t xml:space="preserve">本集合计划投资于具有良好流动性的金融工具，包括</w:t>
      </w:r>
      <w:r>
        <w:rPr>
          <w:rFonts w:ascii="宋体" w:hAnsi="宋体"/>
          <w:bCs/>
          <w:sz w:val="24"/>
        </w:rPr>
        <w:t xml:space="preserve">国内依法发行上市的股票</w:t>
      </w:r>
      <w:r>
        <w:rPr>
          <w:rFonts w:ascii="宋体" w:hAnsi="宋体"/>
          <w:bCs/>
          <w:sz w:val="24"/>
        </w:rPr>
        <w:t xml:space="preserve">（包括主板、创业板及其他经中国证监会核准或注册上市的股票）</w:t>
      </w:r>
      <w:r>
        <w:rPr>
          <w:rFonts w:ascii="宋体" w:hAnsi="宋体"/>
          <w:bCs/>
          <w:sz w:val="24"/>
        </w:rPr>
        <w:t xml:space="preserve">、债券</w:t>
      </w:r>
      <w:r>
        <w:rPr>
          <w:rFonts w:ascii="宋体" w:hAnsi="宋体"/>
          <w:bCs/>
          <w:sz w:val="24"/>
        </w:rPr>
        <w:t xml:space="preserve">（包括国债、央行票据、金融债券、企业债券、公司债券、中期票</w:t>
      </w:r>
      <w:r>
        <w:rPr>
          <w:rFonts w:ascii="宋体" w:hAnsi="宋体"/>
          <w:bCs/>
          <w:sz w:val="24"/>
        </w:rPr>
        <w:t xml:space="preserve">据、短期融资券、超短期融资券、公开发行的次级债券、政府支</w:t>
      </w:r>
      <w:r>
        <w:rPr>
          <w:rFonts w:ascii="宋体" w:hAnsi="宋体"/>
          <w:bCs/>
          <w:sz w:val="24"/>
        </w:rPr>
        <w:t xml:space="preserve">持机构债券、政府支持债券、地方政府债券、可转换债券、可交换债券等）、资产支持证券、债券回购、银行存款（包括协议存款、定期存款及其他银行存款）、同业存单、衍生品（包括股指期货、国债期货等）、货币市场工具</w:t>
      </w:r>
      <w:r>
        <w:rPr>
          <w:rFonts w:ascii="宋体" w:hAnsi="宋体"/>
          <w:bCs/>
          <w:sz w:val="24"/>
        </w:rPr>
        <w:t xml:space="preserve">以及法律法规或中国证监会允许</w:t>
      </w:r>
      <w:r>
        <w:rPr>
          <w:rFonts w:ascii="宋体" w:hAnsi="宋体"/>
          <w:bCs/>
          <w:sz w:val="24"/>
        </w:rPr>
        <w:t xml:space="preserve">集合计划</w:t>
      </w:r>
      <w:r>
        <w:rPr>
          <w:rFonts w:ascii="宋体" w:hAnsi="宋体"/>
          <w:bCs/>
          <w:sz w:val="24"/>
        </w:rPr>
        <w:t xml:space="preserve">投资的其他金融工具</w:t>
      </w:r>
      <w:r>
        <w:rPr>
          <w:rFonts w:ascii="宋体" w:hAnsi="宋体"/>
          <w:bCs/>
          <w:sz w:val="24"/>
        </w:rPr>
        <w:t xml:space="preserve">（但须符合中国证监会相关规定）。</w:t>
      </w:r>
      <w:r/>
    </w:p>
    <w:p>
      <w:pPr>
        <w:pStyle w:val="369"/>
        <w:ind w:firstLine="480"/>
        <w:snapToGrid w:val="1"/>
        <w:spacing w:lineRule="auto" w:line="360"/>
        <w:rPr>
          <w:rFonts w:ascii="宋体" w:hAnsi="宋体"/>
          <w:bCs/>
          <w:sz w:val="24"/>
        </w:rPr>
      </w:pPr>
      <w:r>
        <w:rPr>
          <w:rFonts w:ascii="宋体" w:hAnsi="宋体"/>
          <w:bCs/>
          <w:sz w:val="24"/>
        </w:rPr>
        <w:t xml:space="preserve">如法律法规或监管机构以后允许集合计划投资其他品种，管理人在履行适当程序后，可以将其纳入投资范围。</w:t>
      </w:r>
      <w:r>
        <w:rPr>
          <w:rFonts w:ascii="宋体" w:hAnsi="宋体"/>
          <w:bCs/>
          <w:sz w:val="24"/>
        </w:rPr>
      </w:r>
      <w:r/>
    </w:p>
    <w:p>
      <w:pPr>
        <w:pStyle w:val="369"/>
        <w:ind w:firstLine="425"/>
        <w:snapToGrid w:val="1"/>
        <w:spacing w:lineRule="auto" w:line="360"/>
        <w:rPr>
          <w:rFonts w:ascii="宋体" w:hAnsi="宋体"/>
          <w:bCs/>
          <w:sz w:val="24"/>
        </w:rPr>
      </w:pPr>
      <w:r>
        <w:rPr>
          <w:rFonts w:ascii="宋体" w:hAnsi="宋体"/>
          <w:bCs/>
          <w:sz w:val="24"/>
        </w:rPr>
        <w:t xml:space="preserve">本集合计划</w:t>
      </w:r>
      <w:r>
        <w:rPr>
          <w:rFonts w:ascii="宋体" w:hAnsi="宋体"/>
          <w:bCs/>
          <w:sz w:val="24"/>
        </w:rPr>
        <w:t xml:space="preserve">的投资组合比例为：</w:t>
      </w:r>
      <w:r/>
    </w:p>
    <w:p>
      <w:pPr>
        <w:pStyle w:val="369"/>
        <w:ind w:firstLine="425"/>
        <w:snapToGrid w:val="1"/>
        <w:spacing w:lineRule="auto" w:line="360"/>
        <w:rPr>
          <w:rFonts w:ascii="宋体" w:hAnsi="宋体"/>
          <w:bCs/>
          <w:sz w:val="24"/>
        </w:rPr>
      </w:pPr>
      <w:r>
        <w:rPr>
          <w:rFonts w:ascii="宋体" w:hAnsi="宋体"/>
          <w:bCs/>
          <w:sz w:val="24"/>
        </w:rPr>
        <w:t xml:space="preserve">股票投资占集合计划资产的比例范围为</w:t>
      </w:r>
      <w:r>
        <w:rPr>
          <w:rFonts w:ascii="宋体" w:hAnsi="宋体"/>
          <w:bCs/>
          <w:sz w:val="24"/>
        </w:rPr>
        <w:t xml:space="preserve">0%-</w:t>
      </w:r>
      <w:r>
        <w:rPr>
          <w:rFonts w:ascii="宋体" w:hAnsi="宋体"/>
          <w:bCs/>
          <w:sz w:val="24"/>
        </w:rPr>
        <w:t xml:space="preserve">30%</w:t>
      </w:r>
      <w:r>
        <w:rPr>
          <w:rFonts w:ascii="宋体" w:hAnsi="宋体"/>
          <w:bCs/>
          <w:sz w:val="24"/>
        </w:rPr>
        <w:t xml:space="preserve">；每个交易日日终在扣除股指期货、国债期货合约</w:t>
      </w:r>
      <w:r>
        <w:rPr>
          <w:rFonts w:ascii="宋体" w:hAnsi="宋体"/>
          <w:bCs/>
          <w:sz w:val="24"/>
        </w:rPr>
        <w:t xml:space="preserve">需缴纳的交易保证金后，本集合计划持有的现金或者到期日在一年以内的政府债券不低于集合计划资产净值的</w:t>
      </w:r>
      <w:r>
        <w:rPr>
          <w:rFonts w:ascii="宋体" w:hAnsi="宋体"/>
          <w:bCs/>
          <w:sz w:val="24"/>
        </w:rPr>
        <w:t xml:space="preserve">5%</w:t>
      </w:r>
      <w:r>
        <w:rPr>
          <w:rFonts w:ascii="宋体" w:hAnsi="宋体"/>
          <w:bCs/>
          <w:sz w:val="24"/>
        </w:rPr>
        <w:t xml:space="preserve">，其中现金不包括结算备付金、存出保证金和应收申购款等。</w:t>
      </w:r>
      <w:r>
        <w:rPr>
          <w:rFonts w:ascii="宋体" w:hAnsi="宋体"/>
          <w:bCs/>
          <w:sz w:val="24"/>
        </w:rPr>
        <w:t xml:space="preserve">证券衍生品及其他金融工具的投资比例依照法律法规或监管机构的规定执行。</w:t>
      </w:r>
      <w:r>
        <w:rPr>
          <w:rFonts w:ascii="宋体" w:hAnsi="宋体"/>
          <w:bCs/>
          <w:sz w:val="24"/>
        </w:rPr>
      </w:r>
      <w:r/>
    </w:p>
    <w:p>
      <w:pPr>
        <w:pStyle w:val="369"/>
        <w:ind w:firstLine="480"/>
        <w:snapToGrid w:val="1"/>
        <w:spacing w:lineRule="auto" w:line="360"/>
        <w:rPr>
          <w:rFonts w:ascii="宋体" w:hAnsi="宋体"/>
          <w:sz w:val="24"/>
          <w:szCs w:val="24"/>
        </w:rPr>
      </w:pPr>
      <w:r>
        <w:rPr>
          <w:rFonts w:ascii="宋体" w:hAnsi="宋体"/>
          <w:sz w:val="24"/>
          <w:szCs w:val="24"/>
        </w:rPr>
        <w:t xml:space="preserve">三、投资策略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本集合计划将充分发挥管理人的投研能力，采取自上而下的方法对集合计划的大类资产进行动态配置，综合久期管理、收益率曲线配置等策略对个券进行精选，力争在严格控制集合计划风险的基础上，获取长期稳定超额收益。另外，本集合计划可投资于股</w:t>
      </w:r>
      <w:r>
        <w:rPr>
          <w:rFonts w:ascii="宋体" w:hAnsi="宋体"/>
          <w:sz w:val="24"/>
          <w:szCs w:val="24"/>
        </w:rPr>
        <w:t xml:space="preserve">票等，管理人将选择估值合理、具有持续竞争优势和较大成长空</w:t>
      </w:r>
      <w:r>
        <w:rPr>
          <w:rFonts w:ascii="宋体" w:hAnsi="宋体"/>
          <w:sz w:val="24"/>
          <w:szCs w:val="24"/>
        </w:rPr>
        <w:t xml:space="preserve">间的个股进行投资，强化集合计划的获利能力，提高预期收益水平，以期达到收益增强</w:t>
      </w:r>
      <w:r>
        <w:rPr>
          <w:rFonts w:ascii="宋体" w:hAnsi="宋体"/>
          <w:sz w:val="24"/>
          <w:szCs w:val="24"/>
        </w:rPr>
        <w:t xml:space="preserve">的效果。</w:t>
      </w:r>
      <w:r/>
    </w:p>
    <w:p>
      <w:pPr>
        <w:pStyle w:val="369"/>
        <w:ind w:firstLine="480"/>
        <w:snapToGrid w:val="1"/>
        <w:spacing w:lineRule="auto" w:line="360"/>
        <w:rPr>
          <w:rFonts w:ascii="宋体" w:hAnsi="宋体"/>
          <w:sz w:val="24"/>
          <w:szCs w:val="24"/>
        </w:rPr>
      </w:pPr>
      <w:r>
        <w:rPr>
          <w:rFonts w:ascii="宋体" w:hAnsi="宋体"/>
          <w:sz w:val="24"/>
          <w:szCs w:val="24"/>
        </w:rPr>
        <w:t xml:space="preserve">1、资产配置策略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本集合计划将采用自上而下的方法，在充分研究基本宏观经济形势以及微观市场主体的基础上，对市场基本利率和债券、货币、股票等投资品种收益率水平变化进行评估，并结合波动性以及流动性状况分析，针对不同行业、不同投资品种选择投资策略，以此做出最佳的资产配置及风险控制。</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2、债券投资策略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（1）普通债券投资策略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1</w:t>
      </w:r>
      <w:r>
        <w:rPr>
          <w:rFonts w:ascii="宋体" w:hAnsi="宋体"/>
          <w:sz w:val="24"/>
          <w:szCs w:val="24"/>
        </w:rPr>
        <w:t xml:space="preserve">）久期控制：根据对宏观经济发展状况、金融市场运行特</w:t>
      </w:r>
      <w:r>
        <w:rPr>
          <w:rFonts w:ascii="宋体" w:hAnsi="宋体"/>
          <w:sz w:val="24"/>
          <w:szCs w:val="24"/>
        </w:rPr>
        <w:t xml:space="preserve">点等因素的分析确定组合的整体久期，有效的控制整体资产风险</w:t>
      </w:r>
      <w:r>
        <w:rPr>
          <w:rFonts w:ascii="宋体" w:hAnsi="宋体"/>
          <w:sz w:val="24"/>
          <w:szCs w:val="24"/>
        </w:rPr>
        <w:t xml:space="preserve">。</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2</w:t>
      </w:r>
      <w:r>
        <w:rPr>
          <w:rFonts w:ascii="宋体" w:hAnsi="宋体"/>
          <w:sz w:val="24"/>
          <w:szCs w:val="24"/>
        </w:rPr>
        <w:t xml:space="preserve">）期限结构配置：在确定组合久期后，管理人将针对收益率曲线形态特征确定合理的组合期限结构，通过采用子弹策略、杠铃策略、梯子策略等，在长期、中期与短期债券间进行动态调整，从长、中、短期债券的相对价格变化中获利。</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3</w:t>
      </w:r>
      <w:r>
        <w:rPr>
          <w:rFonts w:ascii="宋体" w:hAnsi="宋体"/>
          <w:sz w:val="24"/>
          <w:szCs w:val="24"/>
        </w:rPr>
        <w:t xml:space="preserve">）市场比较：不同债券子市场的运行规律不同，本集合计划在充分研究不同债券子市场风险－收益特征、流动性特性的基础上构建调整组合（包括跨市场套利操作），以提高投资收益。</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4</w:t>
      </w:r>
      <w:r>
        <w:rPr>
          <w:rFonts w:ascii="宋体" w:hAnsi="宋体"/>
          <w:sz w:val="24"/>
          <w:szCs w:val="24"/>
        </w:rPr>
        <w:t xml:space="preserve">）相对价值判断：本集合计划将在相近的债券品种之间选取价值相对低估的债券品种</w:t>
      </w:r>
      <w:r>
        <w:rPr>
          <w:rFonts w:ascii="宋体" w:hAnsi="宋体"/>
          <w:sz w:val="24"/>
          <w:szCs w:val="24"/>
        </w:rPr>
        <w:t xml:space="preserve">进行投资。</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5</w:t>
      </w:r>
      <w:r>
        <w:rPr>
          <w:rFonts w:ascii="宋体" w:hAnsi="宋体"/>
          <w:sz w:val="24"/>
          <w:szCs w:val="24"/>
        </w:rPr>
        <w:t xml:space="preserve">）信用风险评估：本集合计划将</w:t>
      </w:r>
      <w:r>
        <w:rPr>
          <w:rFonts w:ascii="宋体" w:hAnsi="宋体"/>
          <w:sz w:val="24"/>
          <w:szCs w:val="24"/>
        </w:rPr>
        <w:t xml:space="preserve">根据发债主体的经营状况与现金流等情况对其信用风险进行评定与估测，以此作为品种选择的基本依据。</w:t>
      </w:r>
      <w:r>
        <w:rPr>
          <w:rFonts w:ascii="宋体" w:hAnsi="宋体"/>
          <w:sz w:val="24"/>
          <w:szCs w:val="24"/>
        </w:rPr>
      </w:r>
      <w:r/>
    </w:p>
    <w:p>
      <w:pPr>
        <w:pStyle w:val="369"/>
        <w:ind w:firstLine="480"/>
        <w:snapToGrid w:val="1"/>
        <w:spacing w:lineRule="auto" w:line="360"/>
        <w:rPr>
          <w:rFonts w:ascii="宋体" w:hAnsi="宋体"/>
          <w:bCs/>
          <w:sz w:val="24"/>
        </w:rPr>
      </w:pPr>
      <w:r>
        <w:rPr>
          <w:rFonts w:ascii="宋体" w:hAnsi="宋体"/>
          <w:bCs/>
          <w:sz w:val="24"/>
        </w:rPr>
        <w:t xml:space="preserve">（2）信用债券投资策略</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本集合计划通过行业分析、公司资产负债分析、公司现金流分析、公司运营管理分析等调查研究，分析违约风险及合理的信用利差水平，对信用债券进行独立、客观的价值评估。</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依靠内部信用评级体系跟踪研究发债主体的经营状况、财务指标等情况，对其信用风险进行评估，以此作为个券选择的基本依据。为了准确评估发债主体的信用风险，管理人设计了定性和定量相结合的内部信用</w:t>
      </w:r>
      <w:r>
        <w:rPr>
          <w:rFonts w:ascii="宋体" w:hAnsi="宋体"/>
          <w:bCs/>
          <w:sz w:val="24"/>
        </w:rPr>
        <w:t xml:space="preserve">评级框架。其中，定量分析主要是指对企业财务数据的定量分析</w:t>
      </w:r>
      <w:r>
        <w:rPr>
          <w:rFonts w:ascii="宋体" w:hAnsi="宋体"/>
          <w:bCs/>
          <w:sz w:val="24"/>
        </w:rPr>
        <w:t xml:space="preserve">，定量分析主要包括盈利能力分析、偿债能力分析、现金流获取能力分析、营运能力分析等；定性分析包括所有非定量信息的分析和研究，是对定量分析的重要补充，能够有效提高定量分析的准确性。</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的内部信用评级体系包含即期评级和跟踪评级。即期评级侧重于评级的准确性，为信用产品的实时交易提供参考；此外，本集合计划会对宏观、行业、公司自身信用状况的变化和趋势进行跟踪评级，以有效规避信用风险，并把握市场变动带来的投资机会。</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本集合计划所投资的信用债主体评级或债项评级</w:t>
      </w:r>
      <w:r>
        <w:rPr>
          <w:rFonts w:ascii="宋体" w:hAnsi="宋体"/>
          <w:bCs/>
          <w:sz w:val="24"/>
        </w:rPr>
        <w:t xml:space="preserve">或担保人评级不低于AA（含），并将视经济周期、信用周期的</w:t>
      </w:r>
      <w:r>
        <w:rPr>
          <w:rFonts w:ascii="宋体" w:hAnsi="宋体"/>
          <w:bCs/>
          <w:sz w:val="24"/>
        </w:rPr>
        <w:t xml:space="preserve">变化，动态调整不同行业、不同评级信用债券的配置比例，在综合考虑信用风险、信用利差、流动性风险等因素的基础上，积极发掘信用利差具有相对投资机会的个券进行投资，并采取分散化投资策略，严格控制组合整体的违约风险水平。</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本集合计划投资于信用债主体评级或债项评级或担保人评级不低于AA（含），且应当遵守下列要求：</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1）本集合计划投资于AAA信用评级的信用债的比例占全部信用债资产的</w:t>
      </w:r>
      <w:r>
        <w:rPr>
          <w:rFonts w:ascii="宋体" w:hAnsi="宋体"/>
          <w:bCs/>
          <w:sz w:val="24"/>
        </w:rPr>
        <w:t xml:space="preserve">5</w:t>
      </w:r>
      <w:r>
        <w:rPr>
          <w:rFonts w:ascii="宋体" w:hAnsi="宋体"/>
          <w:bCs/>
          <w:sz w:val="24"/>
        </w:rPr>
        <w:t xml:space="preserve">0%-100%；</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2）本集合计划投资于AA+信用评级的信用债的比例不超过全部信用债资</w:t>
      </w:r>
      <w:r>
        <w:rPr>
          <w:rFonts w:ascii="宋体" w:hAnsi="宋体"/>
          <w:bCs/>
          <w:sz w:val="24"/>
        </w:rPr>
        <w:t xml:space="preserve">产的</w:t>
      </w:r>
      <w:r>
        <w:rPr>
          <w:rFonts w:ascii="宋体" w:hAnsi="宋体"/>
          <w:bCs/>
          <w:sz w:val="24"/>
        </w:rPr>
        <w:t xml:space="preserve">5</w:t>
      </w:r>
      <w:r>
        <w:rPr>
          <w:rFonts w:ascii="宋体" w:hAnsi="宋体"/>
          <w:bCs/>
          <w:sz w:val="24"/>
        </w:rPr>
        <w:t xml:space="preserve">0%；</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3）本集合计划投资于AA信用</w:t>
      </w:r>
      <w:r>
        <w:rPr>
          <w:rFonts w:ascii="宋体" w:hAnsi="宋体"/>
          <w:bCs/>
          <w:sz w:val="24"/>
        </w:rPr>
        <w:t xml:space="preserve">评级的信用债的比例不超过全部信用债资产的</w:t>
      </w:r>
      <w:r>
        <w:rPr>
          <w:rFonts w:ascii="宋体" w:hAnsi="宋体"/>
          <w:bCs/>
          <w:sz w:val="24"/>
        </w:rPr>
        <w:t xml:space="preserve">20</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信用评级参照评级机构（中债资信除外）评定的最新债项评级，无债项评级的参照主体评级或担保人评级。</w:t>
      </w:r>
      <w:r>
        <w:rPr>
          <w:rFonts w:ascii="宋体" w:hAnsi="宋体"/>
          <w:bCs/>
          <w:sz w:val="24"/>
        </w:rPr>
      </w:r>
      <w:r/>
    </w:p>
    <w:p>
      <w:pPr>
        <w:pStyle w:val="369"/>
        <w:ind w:firstLine="480"/>
        <w:snapToGrid w:val="1"/>
        <w:spacing w:lineRule="auto" w:line="360"/>
        <w:rPr>
          <w:rFonts w:ascii="宋体" w:hAnsi="宋体"/>
          <w:sz w:val="24"/>
          <w:szCs w:val="24"/>
        </w:rPr>
      </w:pPr>
      <w:r>
        <w:rPr>
          <w:rFonts w:ascii="宋体" w:hAnsi="宋体"/>
          <w:sz w:val="24"/>
          <w:szCs w:val="24"/>
        </w:rPr>
        <w:t xml:space="preserve">（</w:t>
      </w:r>
      <w:r>
        <w:rPr>
          <w:rFonts w:ascii="宋体" w:hAnsi="宋体"/>
          <w:sz w:val="24"/>
          <w:szCs w:val="24"/>
        </w:rPr>
        <w:t xml:space="preserve">3</w:t>
      </w:r>
      <w:r>
        <w:rPr>
          <w:rFonts w:ascii="宋体" w:hAnsi="宋体"/>
          <w:sz w:val="24"/>
          <w:szCs w:val="24"/>
        </w:rPr>
        <w:t xml:space="preserve">）可转换债券投资策略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可转换债券兼具股票资产与债券资产的特点，具有抵御下行风险、分享股价上涨收益的优势。本集合计划着重对可转换债券对应的基础股票进行分析与研究，重点关注盈利能力或成长前景较好的上市公司的转债，确定不同市场环境下可转换债券股性和债性的相对价值，同时考虑到可转换债券的发行条款、安全边际、流动性等特征，选择合</w:t>
      </w:r>
      <w:r>
        <w:rPr>
          <w:rFonts w:ascii="宋体" w:hAnsi="宋体"/>
          <w:sz w:val="24"/>
          <w:szCs w:val="24"/>
        </w:rPr>
        <w:t xml:space="preserve">适的投资品种，分享正股上涨带来的收益。</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bCs/>
          <w:sz w:val="24"/>
        </w:rPr>
        <w:t xml:space="preserve">本集合计划投资于</w:t>
      </w:r>
      <w:r>
        <w:rPr>
          <w:rFonts w:ascii="宋体" w:hAnsi="宋体"/>
          <w:sz w:val="24"/>
        </w:rPr>
        <w:t xml:space="preserve">可转换债券</w:t>
      </w:r>
      <w:r>
        <w:rPr>
          <w:rFonts w:ascii="宋体" w:hAnsi="宋体"/>
          <w:bCs/>
          <w:sz w:val="24"/>
        </w:rPr>
        <w:t xml:space="preserve">的比例合计不超过</w:t>
      </w:r>
      <w:r>
        <w:rPr>
          <w:rFonts w:ascii="宋体" w:hAnsi="宋体"/>
          <w:sz w:val="24"/>
        </w:rPr>
        <w:t xml:space="preserve">集合计划资产净值</w:t>
      </w:r>
      <w:r>
        <w:rPr>
          <w:rFonts w:ascii="宋体" w:hAnsi="宋体"/>
          <w:bCs/>
          <w:sz w:val="24"/>
        </w:rPr>
        <w:t xml:space="preserve">的</w:t>
      </w:r>
      <w:r>
        <w:rPr>
          <w:rFonts w:ascii="宋体" w:hAnsi="宋体"/>
          <w:bCs/>
          <w:sz w:val="24"/>
        </w:rPr>
        <w:t xml:space="preserve">2</w:t>
      </w:r>
      <w:r>
        <w:rPr>
          <w:rFonts w:ascii="宋体" w:hAnsi="宋体"/>
          <w:bCs/>
          <w:sz w:val="24"/>
        </w:rPr>
        <w:t xml:space="preserve">0%。</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w:t>
      </w:r>
      <w:r>
        <w:rPr>
          <w:rFonts w:ascii="宋体" w:hAnsi="宋体"/>
          <w:sz w:val="24"/>
          <w:szCs w:val="24"/>
        </w:rPr>
        <w:t xml:space="preserve">4</w:t>
      </w:r>
      <w:r>
        <w:rPr>
          <w:rFonts w:ascii="宋体" w:hAnsi="宋体"/>
          <w:sz w:val="24"/>
          <w:szCs w:val="24"/>
        </w:rPr>
        <w:t xml:space="preserve">）可交换债券投资策略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本集合计划将积极把握新上市可交换债券的申购收益、二级市场的波段机会以及偏股型和平衡型可交换债的战略结构性投资机遇，适度把握可交换债券回售、赎回、修正相关条款博弈变化所带来的投资机会及套利机会，选择最具吸引力标的进行配置。</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w:t>
      </w:r>
      <w:r>
        <w:rPr>
          <w:rFonts w:ascii="宋体" w:hAnsi="宋体"/>
          <w:sz w:val="24"/>
          <w:szCs w:val="24"/>
        </w:rPr>
        <w:t xml:space="preserve">5</w:t>
      </w:r>
      <w:r>
        <w:rPr>
          <w:rFonts w:ascii="宋体" w:hAnsi="宋体"/>
          <w:sz w:val="24"/>
          <w:szCs w:val="24"/>
        </w:rPr>
        <w:t xml:space="preserve">）债券回购杠杆策略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本集合计划将在市场资金面和债券市场基本面分析的基础上结合个券分析和组合风险管理结果，积极参与债券回购交易，放大债券资产投资比例，追</w:t>
      </w:r>
      <w:r>
        <w:rPr>
          <w:rFonts w:ascii="宋体" w:hAnsi="宋体"/>
          <w:sz w:val="24"/>
          <w:szCs w:val="24"/>
        </w:rPr>
        <w:t xml:space="preserve">求债券资产的超额收益。</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3、资产</w:t>
      </w:r>
      <w:r>
        <w:rPr>
          <w:rFonts w:ascii="宋体" w:hAnsi="宋体"/>
          <w:sz w:val="24"/>
          <w:szCs w:val="24"/>
        </w:rPr>
        <w:t xml:space="preserve">支持证券投资策略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本集合计划资产支持证券的投资将采用自下而上的方法，结合信用管理和流动性管理，重点考察资产支持证券的资产池现金流变化、信用风险情况、市场流动性等，采用量化方法对资产支持证券的价值进行评估，精选违约或逾期风险可控、收益率较高的资产支持证券项目，在有效分散风险的前提下为投资人谋求较高的投资组合回报率。</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4、股票投资策略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（1）行业配置策略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本集合计划将主要遵循</w:t>
      </w:r>
      <w:r>
        <w:rPr>
          <w:rFonts w:ascii="宋体" w:hAnsi="宋体"/>
          <w:sz w:val="24"/>
          <w:szCs w:val="24"/>
        </w:rPr>
        <w:t xml:space="preserve">“</w:t>
      </w:r>
      <w:r>
        <w:rPr>
          <w:rFonts w:ascii="宋体" w:hAnsi="宋体"/>
          <w:sz w:val="24"/>
          <w:szCs w:val="24"/>
        </w:rPr>
        <w:t xml:space="preserve">自下而上</w:t>
      </w:r>
      <w:r>
        <w:rPr>
          <w:rFonts w:ascii="宋体" w:hAnsi="宋体"/>
          <w:sz w:val="24"/>
          <w:szCs w:val="24"/>
        </w:rPr>
        <w:t xml:space="preserve">”</w:t>
      </w:r>
      <w:r>
        <w:rPr>
          <w:rFonts w:ascii="宋体" w:hAnsi="宋体"/>
          <w:sz w:val="24"/>
          <w:szCs w:val="24"/>
        </w:rPr>
        <w:t xml:space="preserve">的投资理念，结合当前宏观经济运行情况及发展趋势、国家政策等因素，考察行业运行周期、发展空间等，</w:t>
      </w:r>
      <w:r>
        <w:rPr>
          <w:rFonts w:ascii="宋体" w:hAnsi="宋体"/>
          <w:sz w:val="24"/>
          <w:szCs w:val="24"/>
        </w:rPr>
        <w:t xml:space="preserve">重点关注具有良好发展前景的行业。</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（2）个股选择策略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本集合计划结合定性分析和定量分析的方法选择估值合理、具有持续竞争优势和较大成长空间的个股进行投资。</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定性分析主要基于投研团队对公司的案头研究和实地调研，包括所属细分行业情况、市场供求、商业模式、核心技术等内容，深入分析公司的治理结构、经营管理、竞争优势，综合考虑公司的估值水平和未来盈利空间。</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定量分析主要根据相关财务指标，如营业利润率、净利率、每股收益（</w:t>
      </w:r>
      <w:r>
        <w:rPr>
          <w:rFonts w:ascii="宋体" w:hAnsi="宋体"/>
          <w:sz w:val="24"/>
          <w:szCs w:val="24"/>
        </w:rPr>
        <w:t xml:space="preserve">EPS</w:t>
      </w:r>
      <w:r>
        <w:rPr>
          <w:rFonts w:ascii="宋体" w:hAnsi="宋体"/>
          <w:sz w:val="24"/>
          <w:szCs w:val="24"/>
        </w:rPr>
        <w:t xml:space="preserve">）增长、主营业务收入增长等，分析公司经营情况、财务情况等，并综合利用市盈率法（</w:t>
      </w:r>
      <w:r>
        <w:rPr>
          <w:rFonts w:ascii="宋体" w:hAnsi="宋体"/>
          <w:sz w:val="24"/>
          <w:szCs w:val="24"/>
        </w:rPr>
        <w:t xml:space="preserve">P/E</w:t>
      </w:r>
      <w:r>
        <w:rPr>
          <w:rFonts w:ascii="宋体" w:hAnsi="宋体"/>
          <w:sz w:val="24"/>
          <w:szCs w:val="24"/>
        </w:rPr>
        <w:t xml:space="preserve">），市净率法</w:t>
      </w:r>
      <w:r>
        <w:rPr>
          <w:rFonts w:ascii="宋体" w:hAnsi="宋体"/>
          <w:sz w:val="24"/>
          <w:szCs w:val="24"/>
        </w:rPr>
        <w:t xml:space="preserve">（</w:t>
      </w:r>
      <w:r>
        <w:rPr>
          <w:rFonts w:ascii="宋体" w:hAnsi="宋体"/>
          <w:sz w:val="24"/>
          <w:szCs w:val="24"/>
        </w:rPr>
        <w:t xml:space="preserve">P/B</w:t>
      </w:r>
      <w:r>
        <w:rPr>
          <w:rFonts w:ascii="宋体" w:hAnsi="宋体"/>
          <w:sz w:val="24"/>
          <w:szCs w:val="24"/>
        </w:rPr>
        <w:t xml:space="preserve">）、折现现金流法（</w:t>
      </w:r>
      <w:r>
        <w:rPr>
          <w:rFonts w:ascii="宋体" w:hAnsi="宋体"/>
          <w:sz w:val="24"/>
          <w:szCs w:val="24"/>
        </w:rPr>
        <w:t xml:space="preserve">D</w:t>
      </w:r>
      <w:r>
        <w:rPr>
          <w:rFonts w:ascii="宋体" w:hAnsi="宋体"/>
          <w:sz w:val="24"/>
          <w:szCs w:val="24"/>
        </w:rPr>
        <w:t xml:space="preserve">CF</w:t>
      </w:r>
      <w:r>
        <w:rPr>
          <w:rFonts w:ascii="宋体" w:hAnsi="宋体"/>
          <w:sz w:val="24"/>
          <w:szCs w:val="24"/>
        </w:rPr>
        <w:t xml:space="preserve">）对公司进行合理估值。</w:t>
      </w:r>
      <w:r>
        <w:rPr>
          <w:rFonts w:ascii="宋体" w:hAnsi="宋体"/>
          <w:sz w:val="24"/>
          <w:szCs w:val="24"/>
        </w:rPr>
      </w:r>
      <w:r/>
    </w:p>
    <w:p>
      <w:pPr>
        <w:pStyle w:val="369"/>
        <w:ind w:firstLine="480"/>
        <w:snapToGrid w:val="1"/>
        <w:spacing w:lineRule="auto" w:line="360"/>
        <w:rPr>
          <w:rFonts w:ascii="宋体" w:hAnsi="宋体"/>
          <w:sz w:val="24"/>
        </w:rPr>
      </w:pPr>
      <w:r>
        <w:rPr>
          <w:rFonts w:ascii="宋体" w:hAnsi="宋体"/>
          <w:bCs/>
          <w:sz w:val="24"/>
        </w:rPr>
        <w:t xml:space="preserve">5、新</w:t>
      </w:r>
      <w:r>
        <w:rPr>
          <w:rFonts w:ascii="宋体" w:hAnsi="宋体"/>
          <w:sz w:val="24"/>
          <w:szCs w:val="24"/>
        </w:rPr>
        <w:t xml:space="preserve">股申购</w:t>
      </w:r>
      <w:r>
        <w:rPr>
          <w:rFonts w:ascii="宋体" w:hAnsi="宋体"/>
          <w:sz w:val="24"/>
        </w:rPr>
        <w:t xml:space="preserve">策略</w:t>
      </w:r>
      <w:r>
        <w:rPr>
          <w:rFonts w:ascii="宋体" w:hAnsi="宋体"/>
          <w:sz w:val="24"/>
        </w:rPr>
      </w:r>
      <w:r/>
    </w:p>
    <w:p>
      <w:pPr>
        <w:pStyle w:val="369"/>
        <w:ind w:firstLine="480"/>
        <w:snapToGrid w:val="1"/>
        <w:spacing w:lineRule="auto" w:line="360"/>
        <w:rPr>
          <w:rFonts w:ascii="宋体" w:hAnsi="宋体"/>
          <w:bCs/>
          <w:sz w:val="24"/>
        </w:rPr>
      </w:pPr>
      <w:r>
        <w:rPr>
          <w:rFonts w:ascii="宋体" w:hAnsi="宋体"/>
          <w:sz w:val="24"/>
        </w:rPr>
        <w:t xml:space="preserve">本集合计划</w:t>
      </w:r>
      <w:r>
        <w:rPr>
          <w:rFonts w:ascii="宋体" w:hAnsi="宋体"/>
          <w:bCs/>
          <w:sz w:val="24"/>
        </w:rPr>
        <w:t xml:space="preserve">将通过深入分析上市公司 IPO </w:t>
      </w:r>
      <w:r>
        <w:rPr>
          <w:rFonts w:ascii="宋体" w:hAnsi="宋体"/>
          <w:sz w:val="24"/>
        </w:rPr>
        <w:t xml:space="preserve">基本面</w:t>
      </w:r>
      <w:r>
        <w:rPr>
          <w:rFonts w:ascii="宋体" w:hAnsi="宋体"/>
          <w:bCs/>
          <w:sz w:val="24"/>
        </w:rPr>
        <w:t xml:space="preserve">情况</w:t>
      </w:r>
      <w:r>
        <w:rPr>
          <w:rFonts w:ascii="宋体" w:hAnsi="宋体"/>
          <w:sz w:val="24"/>
        </w:rPr>
        <w:t xml:space="preserve">，结合</w:t>
      </w:r>
      <w:r>
        <w:rPr>
          <w:rFonts w:ascii="宋体" w:hAnsi="宋体"/>
          <w:bCs/>
          <w:sz w:val="24"/>
        </w:rPr>
        <w:t xml:space="preserve">新股发行市场环境，积极参与新发和增发股票的询价和配售，利用相对价值分析方法，并根据可比公司股票基本面因素和价格因素构造多因素</w:t>
      </w:r>
      <w:r>
        <w:rPr>
          <w:rFonts w:ascii="宋体" w:hAnsi="宋体"/>
          <w:sz w:val="24"/>
        </w:rPr>
        <w:t xml:space="preserve">模型</w:t>
      </w:r>
      <w:r>
        <w:rPr>
          <w:rFonts w:ascii="宋体" w:hAnsi="宋体"/>
          <w:bCs/>
          <w:sz w:val="24"/>
        </w:rPr>
        <w:t xml:space="preserve">，预测新发或增发股票在二级市场的</w:t>
      </w:r>
      <w:r>
        <w:rPr>
          <w:rFonts w:ascii="宋体" w:hAnsi="宋体"/>
          <w:sz w:val="24"/>
        </w:rPr>
        <w:t xml:space="preserve">合理</w:t>
      </w:r>
      <w:r>
        <w:rPr>
          <w:rFonts w:ascii="宋体" w:hAnsi="宋体"/>
          <w:bCs/>
          <w:sz w:val="24"/>
        </w:rPr>
        <w:t xml:space="preserve">定价以及发行价格</w:t>
      </w:r>
      <w:r>
        <w:rPr>
          <w:rFonts w:ascii="宋体" w:hAnsi="宋体"/>
          <w:sz w:val="24"/>
        </w:rPr>
        <w:t xml:space="preserve">，在</w:t>
      </w:r>
      <w:r>
        <w:rPr>
          <w:rFonts w:ascii="宋体" w:hAnsi="宋体"/>
          <w:bCs/>
          <w:sz w:val="24"/>
        </w:rPr>
        <w:t xml:space="preserve">符合相关法律法规</w:t>
      </w:r>
      <w:r>
        <w:rPr>
          <w:rFonts w:ascii="宋体" w:hAnsi="宋体"/>
          <w:sz w:val="24"/>
        </w:rPr>
        <w:t xml:space="preserve">的前提下</w:t>
      </w:r>
      <w:r>
        <w:rPr>
          <w:rFonts w:ascii="宋体" w:hAnsi="宋体"/>
          <w:bCs/>
          <w:sz w:val="24"/>
        </w:rPr>
        <w:t xml:space="preserve">确定不同的申购方式及各自</w:t>
      </w:r>
      <w:r>
        <w:rPr>
          <w:rFonts w:ascii="宋体" w:hAnsi="宋体"/>
          <w:sz w:val="24"/>
        </w:rPr>
        <w:t xml:space="preserve">的</w:t>
      </w:r>
      <w:r>
        <w:rPr>
          <w:rFonts w:ascii="宋体" w:hAnsi="宋体"/>
          <w:bCs/>
          <w:sz w:val="24"/>
        </w:rPr>
        <w:t xml:space="preserve">比例。</w:t>
      </w:r>
      <w:r>
        <w:rPr>
          <w:rFonts w:ascii="宋体" w:hAnsi="宋体"/>
          <w:bCs/>
          <w:sz w:val="24"/>
        </w:rPr>
      </w:r>
      <w:r/>
    </w:p>
    <w:p>
      <w:pPr>
        <w:pStyle w:val="369"/>
        <w:ind w:firstLine="480"/>
        <w:snapToGrid w:val="1"/>
        <w:spacing w:lineRule="auto" w:line="360"/>
        <w:rPr>
          <w:rFonts w:ascii="宋体" w:hAnsi="宋体"/>
          <w:sz w:val="24"/>
        </w:rPr>
      </w:pPr>
      <w:r>
        <w:rPr>
          <w:rFonts w:ascii="宋体" w:hAnsi="宋体"/>
          <w:bCs/>
          <w:sz w:val="24"/>
        </w:rPr>
        <w:t xml:space="preserve">同时，</w:t>
      </w:r>
      <w:r>
        <w:rPr>
          <w:rFonts w:ascii="宋体" w:hAnsi="宋体"/>
          <w:sz w:val="24"/>
        </w:rPr>
        <w:t xml:space="preserve">本集合计划</w:t>
      </w:r>
      <w:r>
        <w:rPr>
          <w:rFonts w:ascii="宋体" w:hAnsi="宋体"/>
          <w:bCs/>
          <w:sz w:val="24"/>
        </w:rPr>
        <w:t xml:space="preserve">将根据当时市场状况和资金面情况，合理估算新股一级市场发行价格、中签率、机会成本、申购收益率及最大风险值。在严格</w:t>
      </w:r>
      <w:r>
        <w:rPr>
          <w:rFonts w:ascii="宋体" w:hAnsi="宋体"/>
          <w:sz w:val="24"/>
        </w:rPr>
        <w:t xml:space="preserve">控制</w:t>
      </w:r>
      <w:r>
        <w:rPr>
          <w:rFonts w:ascii="宋体" w:hAnsi="宋体"/>
          <w:bCs/>
          <w:sz w:val="24"/>
        </w:rPr>
        <w:t xml:space="preserve">风险的前</w:t>
      </w:r>
      <w:r>
        <w:rPr>
          <w:rFonts w:ascii="宋体" w:hAnsi="宋体"/>
          <w:bCs/>
          <w:sz w:val="24"/>
        </w:rPr>
        <w:t xml:space="preserve">提下，力争新股申购收益的最大化</w:t>
      </w:r>
      <w:r>
        <w:rPr>
          <w:rFonts w:ascii="宋体" w:hAnsi="宋体"/>
          <w:sz w:val="24"/>
        </w:rPr>
        <w:t xml:space="preserve">。</w:t>
      </w:r>
      <w:r>
        <w:rPr>
          <w:rFonts w:ascii="宋体" w:hAnsi="宋体"/>
          <w:sz w:val="24"/>
        </w:rPr>
      </w:r>
      <w:r/>
    </w:p>
    <w:p>
      <w:pPr>
        <w:pStyle w:val="369"/>
        <w:ind w:firstLine="480"/>
        <w:snapToGrid w:val="1"/>
        <w:spacing w:lineRule="auto" w:line="360"/>
        <w:rPr>
          <w:rFonts w:ascii="宋体" w:hAnsi="宋体"/>
          <w:sz w:val="24"/>
          <w:szCs w:val="24"/>
        </w:rPr>
      </w:pPr>
      <w:r>
        <w:rPr>
          <w:rFonts w:ascii="宋体" w:hAnsi="宋体"/>
          <w:sz w:val="24"/>
          <w:szCs w:val="24"/>
        </w:rPr>
        <w:t xml:space="preserve">6、期货投资策略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（1）股指期货投资策略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本集合计划对股指期货的投资以套期保值、回避市场风险为主要目的，本着谨慎原则，适度参与股指期货投资。通过对现货市场和期货市场运行形势的研究，结合集合计划股票组合的实际情况及对股指期货的估值水平、基差水平、流动性等因素的分析，选择合适的期货合约构建相应的头寸，以调整投资组合的风险暴露，降低系统性风险。集合计划还将利用股指期货作为组合流动性管理工具，降低现货市场流动性不足导致的冲击成本过高的风险，提高集合计划的建仓或变现效率。</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（2）国债</w:t>
      </w:r>
      <w:r>
        <w:rPr>
          <w:rFonts w:ascii="宋体" w:hAnsi="宋体"/>
          <w:sz w:val="24"/>
          <w:szCs w:val="24"/>
        </w:rPr>
        <w:t xml:space="preserve">期货投资策略</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本集合计划对国债期货的投资以</w:t>
      </w:r>
      <w:r>
        <w:rPr>
          <w:rFonts w:ascii="宋体" w:hAnsi="宋体"/>
          <w:sz w:val="24"/>
          <w:szCs w:val="24"/>
        </w:rPr>
        <w:t xml:space="preserve">套期保值、回避市场风险为主要目的，结合国债交易市场和期货市场的收益性、流动性等情况，通过多头或空头套期保值等策略进行套期保值操作，获取超额收益。</w:t>
      </w:r>
      <w:r/>
    </w:p>
    <w:p>
      <w:pPr>
        <w:pStyle w:val="369"/>
        <w:ind w:firstLine="480"/>
        <w:snapToGrid w:val="1"/>
        <w:spacing w:lineRule="auto" w:line="360"/>
        <w:rPr>
          <w:rFonts w:ascii="宋体" w:hAnsi="宋体"/>
          <w:bCs/>
          <w:sz w:val="24"/>
        </w:rPr>
      </w:pPr>
      <w:r>
        <w:rPr>
          <w:rFonts w:ascii="宋体" w:hAnsi="宋体"/>
          <w:bCs/>
          <w:sz w:val="24"/>
        </w:rPr>
        <w:t xml:space="preserve">四、投资限制</w:t>
      </w:r>
      <w:r/>
    </w:p>
    <w:p>
      <w:pPr>
        <w:pStyle w:val="369"/>
        <w:ind w:firstLine="480"/>
        <w:snapToGrid w:val="1"/>
        <w:spacing w:lineRule="auto" w:line="360"/>
        <w:rPr>
          <w:rFonts w:ascii="宋体" w:hAnsi="宋体"/>
          <w:bCs/>
          <w:sz w:val="24"/>
        </w:rPr>
      </w:pPr>
      <w:r>
        <w:rPr>
          <w:rFonts w:ascii="宋体" w:hAnsi="宋体"/>
          <w:bCs/>
          <w:sz w:val="24"/>
        </w:rPr>
        <w:t xml:space="preserve">1、组合限制</w:t>
      </w:r>
      <w:r/>
    </w:p>
    <w:p>
      <w:pPr>
        <w:pStyle w:val="369"/>
        <w:ind w:firstLine="480"/>
        <w:snapToGrid w:val="1"/>
        <w:spacing w:lineRule="auto" w:line="360"/>
        <w:rPr>
          <w:rFonts w:ascii="宋体" w:hAnsi="宋体"/>
          <w:bCs/>
          <w:sz w:val="24"/>
        </w:rPr>
      </w:pPr>
      <w:r>
        <w:rPr>
          <w:rFonts w:ascii="宋体" w:hAnsi="宋体"/>
          <w:bCs/>
          <w:sz w:val="24"/>
        </w:rPr>
        <w:t xml:space="preserve">集合计划的投资组合应遵循以下限制：</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本集合计划股票占集合计划资产的投资比例为</w:t>
      </w:r>
      <w:r>
        <w:rPr>
          <w:rFonts w:ascii="宋体" w:hAnsi="宋体"/>
          <w:bCs/>
          <w:sz w:val="24"/>
        </w:rPr>
        <w:t xml:space="preserve">0-30%</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w:t>
      </w:r>
      <w:r>
        <w:rPr>
          <w:rFonts w:ascii="宋体" w:hAnsi="宋体"/>
          <w:bCs/>
          <w:sz w:val="24"/>
        </w:rPr>
        <w:t xml:space="preserve">）</w:t>
      </w:r>
      <w:r>
        <w:rPr>
          <w:rFonts w:ascii="宋体" w:hAnsi="宋体"/>
          <w:bCs/>
          <w:sz w:val="24"/>
        </w:rPr>
        <w:t xml:space="preserve">每个交易日日终在扣除股指期货、国债期货合约需缴纳的交易保证金后，</w:t>
      </w:r>
      <w:r>
        <w:rPr>
          <w:rFonts w:ascii="宋体" w:hAnsi="宋体"/>
          <w:bCs/>
          <w:sz w:val="24"/>
        </w:rPr>
        <w:t xml:space="preserve">保持不低于</w:t>
      </w:r>
      <w:r>
        <w:rPr>
          <w:rFonts w:ascii="宋体" w:hAnsi="宋体"/>
          <w:bCs/>
          <w:sz w:val="24"/>
        </w:rPr>
        <w:t xml:space="preserve">集合计划</w:t>
      </w:r>
      <w:r>
        <w:rPr>
          <w:rFonts w:ascii="宋体" w:hAnsi="宋体"/>
          <w:bCs/>
          <w:sz w:val="24"/>
        </w:rPr>
        <w:t xml:space="preserve">资产净值5%</w:t>
      </w:r>
      <w:r>
        <w:rPr>
          <w:rFonts w:ascii="宋体" w:hAnsi="宋体"/>
          <w:bCs/>
          <w:sz w:val="24"/>
        </w:rPr>
        <w:t xml:space="preserve">的现金或者到期日在一年以内的政府债券</w:t>
      </w:r>
      <w:r>
        <w:rPr>
          <w:rFonts w:ascii="宋体" w:hAnsi="宋体"/>
          <w:bCs/>
          <w:sz w:val="24"/>
        </w:rPr>
        <w:t xml:space="preserve">，</w:t>
      </w:r>
      <w:r>
        <w:rPr>
          <w:rFonts w:ascii="宋体" w:hAnsi="宋体"/>
          <w:bCs/>
          <w:sz w:val="24"/>
        </w:rPr>
        <w:t xml:space="preserve">其中现金不包括结算备付金、存出保证金和应收申购款等；</w:t>
      </w:r>
      <w:r/>
    </w:p>
    <w:p>
      <w:pPr>
        <w:pStyle w:val="369"/>
        <w:ind w:firstLine="480"/>
        <w:snapToGrid w:val="1"/>
        <w:spacing w:lineRule="auto" w:line="360"/>
        <w:rPr>
          <w:rFonts w:ascii="宋体" w:hAnsi="宋体"/>
          <w:bCs/>
          <w:sz w:val="24"/>
        </w:rPr>
      </w:pPr>
      <w:r>
        <w:rPr>
          <w:rFonts w:ascii="宋体" w:hAnsi="宋体"/>
          <w:bCs/>
          <w:sz w:val="24"/>
        </w:rPr>
        <w:t xml:space="preserve">（3）本</w:t>
      </w:r>
      <w:r>
        <w:rPr>
          <w:rFonts w:ascii="宋体" w:hAnsi="宋体"/>
          <w:bCs/>
          <w:sz w:val="24"/>
        </w:rPr>
        <w:t xml:space="preserve">集合计划持有一家公司发行的证券，其市值不超过集合计划资产</w:t>
      </w:r>
      <w:r>
        <w:rPr>
          <w:rFonts w:ascii="宋体" w:hAnsi="宋体"/>
          <w:bCs/>
          <w:sz w:val="24"/>
        </w:rPr>
        <w:t xml:space="preserve">净值的10％；</w:t>
      </w:r>
      <w:r/>
    </w:p>
    <w:p>
      <w:pPr>
        <w:pStyle w:val="369"/>
        <w:ind w:firstLine="480"/>
        <w:snapToGrid w:val="1"/>
        <w:spacing w:lineRule="auto" w:line="360"/>
        <w:rPr>
          <w:rFonts w:ascii="宋体" w:hAnsi="宋体"/>
          <w:bCs/>
          <w:sz w:val="24"/>
        </w:rPr>
      </w:pPr>
      <w:r>
        <w:rPr>
          <w:rFonts w:ascii="宋体" w:hAnsi="宋体"/>
          <w:bCs/>
          <w:sz w:val="24"/>
        </w:rPr>
        <w:t xml:space="preserve">（4）本集合计划管理人管理的全部公开募集性质的集合资产管理计划持有一家公司发行的证券，不超过该证券的10％</w:t>
      </w:r>
      <w:r>
        <w:rPr>
          <w:rFonts w:ascii="宋体" w:hAnsi="宋体"/>
          <w:bCs/>
          <w:sz w:val="24"/>
        </w:rPr>
        <w:t xml:space="preserve">，完全按照有关指数的构成比例进行证券投资的</w:t>
      </w:r>
      <w:r>
        <w:rPr>
          <w:rFonts w:ascii="宋体" w:hAnsi="宋体"/>
          <w:bCs/>
          <w:sz w:val="24"/>
        </w:rPr>
        <w:t xml:space="preserve">集合资产管理计划</w:t>
      </w:r>
      <w:r>
        <w:rPr>
          <w:rFonts w:ascii="宋体" w:hAnsi="宋体"/>
          <w:bCs/>
          <w:sz w:val="24"/>
        </w:rPr>
        <w:t xml:space="preserve">品种可以不受此条款规定的比例限制</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5</w:t>
      </w:r>
      <w:r>
        <w:rPr>
          <w:rFonts w:ascii="宋体" w:hAnsi="宋体"/>
          <w:bCs/>
          <w:sz w:val="24"/>
        </w:rPr>
        <w:t xml:space="preserve">）本集合计划投资于同一原始权益人的各类资产支持证券的比例，不得超过集合计划资产净值的10％；</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6</w:t>
      </w:r>
      <w:r>
        <w:rPr>
          <w:rFonts w:ascii="宋体" w:hAnsi="宋体"/>
          <w:bCs/>
          <w:sz w:val="24"/>
        </w:rPr>
        <w:t xml:space="preserve">）本集合计划持有的全部资产支持证券，其市值不得超过集合计划资产净值的20％；</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7</w:t>
      </w:r>
      <w:r>
        <w:rPr>
          <w:rFonts w:ascii="宋体" w:hAnsi="宋体"/>
          <w:bCs/>
          <w:sz w:val="24"/>
        </w:rPr>
        <w:t xml:space="preserve">）本集合计划持有的同一(指同一信用级别)资产支持证券的比</w:t>
      </w:r>
      <w:r>
        <w:rPr>
          <w:rFonts w:ascii="宋体" w:hAnsi="宋体"/>
          <w:bCs/>
          <w:sz w:val="24"/>
        </w:rPr>
        <w:t xml:space="preserve">例，不得超过该资产支持证券规模的10％；</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（8）本集合计划管理人管理的全部公开募集性质的集合资产管理计划投资于同一原始权益人的各类资产支持证券，不得超过其各类资产支持证券合计规模的10％；</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9</w:t>
      </w:r>
      <w:r>
        <w:rPr>
          <w:rFonts w:ascii="宋体" w:hAnsi="宋体"/>
          <w:bCs/>
          <w:sz w:val="24"/>
        </w:rPr>
        <w:t xml:space="preserve">）本集合计划应投资于信用级别评级为BBB以上(含BBB)的资产支持证券。集合计划持有资产支持证券期间，如果其信用等级下降、不再符合投资标准，应在评级报告发布之日起3个月内予以全部卖出；</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w:t>
      </w:r>
      <w:r>
        <w:rPr>
          <w:rFonts w:ascii="宋体" w:hAnsi="宋体"/>
          <w:bCs/>
          <w:sz w:val="24"/>
        </w:rPr>
        <w:t xml:space="preserve">0）</w:t>
      </w:r>
      <w:r>
        <w:rPr>
          <w:rFonts w:ascii="宋体" w:hAnsi="宋体"/>
          <w:bCs/>
          <w:sz w:val="24"/>
        </w:rPr>
        <w:t xml:space="preserve">集合计划</w:t>
      </w:r>
      <w:r>
        <w:rPr>
          <w:rFonts w:ascii="宋体" w:hAnsi="宋体"/>
          <w:bCs/>
          <w:sz w:val="24"/>
        </w:rPr>
        <w:t xml:space="preserve">财产参与股票发行申购，本集合计划所申报的金额不超过本集合计划的总资产，本集合计划所申报的股票数量不超过拟发行股票公司</w:t>
      </w:r>
      <w:r>
        <w:rPr>
          <w:rFonts w:ascii="宋体" w:hAnsi="宋体"/>
          <w:bCs/>
          <w:sz w:val="24"/>
        </w:rPr>
        <w:t xml:space="preserve">本次发行股票的总量；</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1</w:t>
      </w:r>
      <w:r>
        <w:rPr>
          <w:rFonts w:ascii="宋体" w:hAnsi="宋体"/>
          <w:bCs/>
          <w:sz w:val="24"/>
        </w:rPr>
        <w:t xml:space="preserve">）本集合计划进入全国银行间同业市场进行债券回购的资金余额不得超过集合计划资产净值的40%，</w:t>
      </w:r>
      <w:r>
        <w:rPr>
          <w:rFonts w:ascii="宋体" w:hAnsi="宋体"/>
          <w:bCs/>
          <w:sz w:val="24"/>
        </w:rPr>
        <w:t xml:space="preserve">进入</w:t>
      </w:r>
      <w:r>
        <w:rPr>
          <w:rFonts w:ascii="宋体" w:hAnsi="宋体"/>
          <w:bCs/>
          <w:sz w:val="24"/>
        </w:rPr>
        <w:t xml:space="preserve">全国银行间同业市场</w:t>
      </w:r>
      <w:r>
        <w:rPr>
          <w:rFonts w:ascii="宋体" w:hAnsi="宋体"/>
          <w:bCs/>
          <w:sz w:val="24"/>
        </w:rPr>
        <w:t xml:space="preserve">进行</w:t>
      </w:r>
      <w:r>
        <w:rPr>
          <w:rFonts w:ascii="宋体" w:hAnsi="宋体"/>
          <w:bCs/>
          <w:sz w:val="24"/>
        </w:rPr>
        <w:t xml:space="preserve">债券回购的最长期限为1年，债券回购到期后不得展期；</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12</w:t>
      </w:r>
      <w:r>
        <w:rPr>
          <w:rFonts w:ascii="宋体" w:hAnsi="宋体"/>
          <w:bCs/>
          <w:sz w:val="24"/>
        </w:rPr>
        <w:t xml:space="preserve">）本集合计划管理人管理的全部公开募集性质的开放式集合</w:t>
      </w:r>
      <w:r>
        <w:rPr>
          <w:rFonts w:ascii="宋体" w:hAnsi="宋体"/>
          <w:bCs/>
          <w:sz w:val="24"/>
        </w:rPr>
        <w:t xml:space="preserve">资产管理计划</w:t>
      </w:r>
      <w:r>
        <w:rPr>
          <w:rFonts w:ascii="宋体" w:hAnsi="宋体"/>
          <w:bCs/>
          <w:sz w:val="24"/>
        </w:rPr>
        <w:t xml:space="preserve">(包括开放式集合资产管理计划以及处于开放期的定期开放集合资产管理计划)持有一家上市公司发行的可流通股票，不得超过该上市公司可流通股票的15%；本集合计划管理人管理的全部投资组合持有一家上市公司发行的可流通股票，不得超过该上市公司可流通股票的30%</w:t>
      </w:r>
      <w:r>
        <w:rPr>
          <w:rFonts w:ascii="宋体" w:hAnsi="宋体"/>
          <w:bCs/>
          <w:sz w:val="24"/>
        </w:rPr>
        <w:t xml:space="preserve">，</w:t>
      </w:r>
      <w:r>
        <w:rPr>
          <w:rFonts w:ascii="宋体" w:hAnsi="宋体"/>
          <w:bCs/>
          <w:sz w:val="24"/>
        </w:rPr>
        <w:t xml:space="preserve">完全按照有关指数的构成比例进行证券投资的开放式集合计</w:t>
      </w:r>
      <w:r>
        <w:rPr>
          <w:rFonts w:ascii="宋体" w:hAnsi="宋体"/>
          <w:bCs/>
          <w:sz w:val="24"/>
        </w:rPr>
        <w:t xml:space="preserve">划以及中国证监会认定的特殊投资组合可不受前述比例限制</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13</w:t>
      </w:r>
      <w:r>
        <w:rPr>
          <w:rFonts w:ascii="宋体" w:hAnsi="宋体"/>
          <w:bCs/>
          <w:sz w:val="24"/>
        </w:rPr>
        <w:t xml:space="preserve">）本集合计划主动投资于流动性受限资产的市值合计不得超过集合计划资产净值的15%；因证券市场波动、上市公司股票停牌、集合计划规模变动等管理人之外的因素致使集合计划不符合该比例限制的，管理人不得主动新增流动性受限资产的投资；</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14</w:t>
      </w:r>
      <w:r>
        <w:rPr>
          <w:rFonts w:ascii="宋体" w:hAnsi="宋体"/>
          <w:bCs/>
          <w:sz w:val="24"/>
        </w:rPr>
        <w:t xml:space="preserve">）本集合计划与私募类证券资管产品及中国证监会认定的其他主体为交易对手开展逆回购交易的，可接受质押品的资质要求应当与集合计划合同约定的投资范围保持一致；</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15</w:t>
      </w:r>
      <w:r>
        <w:rPr>
          <w:rFonts w:ascii="宋体" w:hAnsi="宋体"/>
          <w:bCs/>
          <w:sz w:val="24"/>
        </w:rPr>
        <w:t xml:space="preserve">）集合计划</w:t>
      </w:r>
      <w:r>
        <w:rPr>
          <w:rFonts w:ascii="宋体" w:hAnsi="宋体"/>
          <w:bCs/>
          <w:sz w:val="24"/>
        </w:rPr>
        <w:t xml:space="preserve">资产总值不得超过集合计划资产净值的140%；</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6</w:t>
      </w:r>
      <w:r>
        <w:rPr>
          <w:rFonts w:ascii="宋体" w:hAnsi="宋体"/>
          <w:bCs/>
          <w:sz w:val="24"/>
        </w:rPr>
        <w:t xml:space="preserve">）本集合计划参与股指期货、国债期货投资，应遵循下列限制：</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）集合计划在任何交易日日终，持有的买入股指期货合约价值，不得超过集合计划资产净值的</w:t>
      </w:r>
      <w:r>
        <w:rPr>
          <w:rFonts w:ascii="宋体" w:hAnsi="宋体"/>
          <w:bCs/>
          <w:sz w:val="24"/>
        </w:rPr>
        <w:t xml:space="preserve">10%</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）集合计划在任何交易日日终，持有的卖出股指期货合约价值不得超过集合计划持有的股票总市值的</w:t>
      </w:r>
      <w:r>
        <w:rPr>
          <w:rFonts w:ascii="宋体" w:hAnsi="宋体"/>
          <w:bCs/>
          <w:sz w:val="24"/>
        </w:rPr>
        <w:t xml:space="preserve">20%</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）集合计划在任何交易日内交易（不包括平仓）的股指期货合约的成交金额不得超过上一交易日集合计划资产净值的</w:t>
      </w:r>
      <w:r>
        <w:rPr>
          <w:rFonts w:ascii="宋体" w:hAnsi="宋体"/>
          <w:bCs/>
          <w:sz w:val="24"/>
        </w:rPr>
        <w:t xml:space="preserve">20%</w:t>
      </w:r>
      <w:r>
        <w:rPr>
          <w:rFonts w:ascii="宋体" w:hAnsi="宋体"/>
          <w:bCs/>
          <w:sz w:val="24"/>
        </w:rPr>
        <w:t xml:space="preserve">；集合计划所持有的股票市值和买入、卖出股指期货合约价值，合计（轧差计算）应当符合集合计划合同关于股</w:t>
      </w:r>
      <w:r>
        <w:rPr>
          <w:rFonts w:ascii="宋体" w:hAnsi="宋体"/>
          <w:bCs/>
          <w:sz w:val="24"/>
        </w:rPr>
        <w:t xml:space="preserve">票投资比例的有关约定；</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）集</w:t>
      </w:r>
      <w:r>
        <w:rPr>
          <w:rFonts w:ascii="宋体" w:hAnsi="宋体"/>
          <w:bCs/>
          <w:sz w:val="24"/>
        </w:rPr>
        <w:t xml:space="preserve">合计划在任何交易日日终，持有的买入国债期货合约价值，不得超过集合计划资产净值的</w:t>
      </w:r>
      <w:r>
        <w:rPr>
          <w:rFonts w:ascii="宋体" w:hAnsi="宋体"/>
          <w:bCs/>
          <w:sz w:val="24"/>
        </w:rPr>
        <w:t xml:space="preserve">15%</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）集合计划在任何交易日日终，持有的卖出国债期货合约价值不得超过集合计划持有的债券总市值的</w:t>
      </w:r>
      <w:r>
        <w:rPr>
          <w:rFonts w:ascii="宋体" w:hAnsi="宋体"/>
          <w:bCs/>
          <w:sz w:val="24"/>
        </w:rPr>
        <w:t xml:space="preserve">30%</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6</w:t>
      </w:r>
      <w:r>
        <w:rPr>
          <w:rFonts w:ascii="宋体" w:hAnsi="宋体"/>
          <w:bCs/>
          <w:sz w:val="24"/>
        </w:rPr>
        <w:t xml:space="preserve">）集合计划在任何交易日内交易（不包括平仓）的国债期货合约的成交金额不得超过上一交易日集合计划资产净值的</w:t>
      </w:r>
      <w:r>
        <w:rPr>
          <w:rFonts w:ascii="宋体" w:hAnsi="宋体"/>
          <w:bCs/>
          <w:sz w:val="24"/>
        </w:rPr>
        <w:t xml:space="preserve">30%</w:t>
      </w:r>
      <w:r>
        <w:rPr>
          <w:rFonts w:ascii="宋体" w:hAnsi="宋体"/>
          <w:bCs/>
          <w:sz w:val="24"/>
        </w:rPr>
        <w:t xml:space="preserve">；集合计划所持有的债券（不含到期日在一年以内的政府债券）市值和买入、卖出国债期货合约价值，合计（轧差计算）应当符合集合计划合同关于债券投资比例的有关约定；</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7</w:t>
      </w:r>
      <w:r>
        <w:rPr>
          <w:rFonts w:ascii="宋体" w:hAnsi="宋体"/>
          <w:bCs/>
          <w:sz w:val="24"/>
        </w:rPr>
        <w:t xml:space="preserve">）在任何交易日日终，持有的</w:t>
      </w:r>
      <w:r>
        <w:rPr>
          <w:rFonts w:ascii="宋体" w:hAnsi="宋体"/>
          <w:bCs/>
          <w:sz w:val="24"/>
        </w:rPr>
        <w:t xml:space="preserve">买入国债期货和股指期货合约价值与有价证券市值之和，不得超</w:t>
      </w:r>
      <w:r>
        <w:rPr>
          <w:rFonts w:ascii="宋体" w:hAnsi="宋体"/>
          <w:bCs/>
          <w:sz w:val="24"/>
        </w:rPr>
        <w:t xml:space="preserve">过集合计划资产净值的</w:t>
      </w:r>
      <w:r>
        <w:rPr>
          <w:rFonts w:ascii="宋体" w:hAnsi="宋体"/>
          <w:bCs/>
          <w:sz w:val="24"/>
        </w:rPr>
        <w:t xml:space="preserve">95%</w:t>
      </w:r>
      <w:r>
        <w:rPr>
          <w:rFonts w:ascii="宋体" w:hAnsi="宋体"/>
          <w:bCs/>
          <w:sz w:val="24"/>
        </w:rPr>
        <w:t xml:space="preserve">，其中，有价证券指股票、债券</w:t>
      </w:r>
      <w:r>
        <w:rPr>
          <w:rFonts w:ascii="宋体" w:hAnsi="宋体"/>
          <w:bCs/>
          <w:sz w:val="24"/>
        </w:rPr>
        <w:t xml:space="preserve">(</w:t>
      </w:r>
      <w:r>
        <w:rPr>
          <w:rFonts w:ascii="宋体" w:hAnsi="宋体"/>
          <w:bCs/>
          <w:sz w:val="24"/>
        </w:rPr>
        <w:t xml:space="preserve">不含到期日在一年以内的政府债券</w:t>
      </w:r>
      <w:r>
        <w:rPr>
          <w:rFonts w:ascii="宋体" w:hAnsi="宋体"/>
          <w:bCs/>
          <w:sz w:val="24"/>
        </w:rPr>
        <w:t xml:space="preserve">)</w:t>
      </w:r>
      <w:r>
        <w:rPr>
          <w:rFonts w:ascii="宋体" w:hAnsi="宋体"/>
          <w:bCs/>
          <w:sz w:val="24"/>
        </w:rPr>
        <w:t xml:space="preserve">、资产支持证券、买入返售金融资产</w:t>
      </w:r>
      <w:r>
        <w:rPr>
          <w:rFonts w:ascii="宋体" w:hAnsi="宋体"/>
          <w:bCs/>
          <w:sz w:val="24"/>
        </w:rPr>
        <w:t xml:space="preserve">(</w:t>
      </w:r>
      <w:r>
        <w:rPr>
          <w:rFonts w:ascii="宋体" w:hAnsi="宋体"/>
          <w:bCs/>
          <w:sz w:val="24"/>
        </w:rPr>
        <w:t xml:space="preserve">不含质押式回购</w:t>
      </w:r>
      <w:r>
        <w:rPr>
          <w:rFonts w:ascii="宋体" w:hAnsi="宋体"/>
          <w:bCs/>
          <w:sz w:val="24"/>
        </w:rPr>
        <w:t xml:space="preserve">)</w:t>
      </w:r>
      <w:r>
        <w:rPr>
          <w:rFonts w:ascii="宋体" w:hAnsi="宋体"/>
          <w:bCs/>
          <w:sz w:val="24"/>
        </w:rPr>
        <w:t xml:space="preserve">等；</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17</w:t>
      </w:r>
      <w:r>
        <w:rPr>
          <w:rFonts w:ascii="宋体" w:hAnsi="宋体"/>
          <w:bCs/>
          <w:sz w:val="24"/>
        </w:rPr>
        <w:t xml:space="preserve">）法律法规及中国证监会规定的和《集合计划合同》约定的其他投资限制。</w:t>
      </w:r>
      <w:r/>
    </w:p>
    <w:p>
      <w:pPr>
        <w:pStyle w:val="369"/>
        <w:ind w:firstLine="480"/>
        <w:snapToGrid w:val="1"/>
        <w:spacing w:lineRule="auto" w:line="360"/>
        <w:rPr>
          <w:rFonts w:ascii="宋体" w:hAnsi="宋体"/>
          <w:bCs/>
          <w:sz w:val="24"/>
        </w:rPr>
      </w:pPr>
      <w:r>
        <w:rPr>
          <w:rFonts w:ascii="宋体" w:hAnsi="宋体"/>
          <w:bCs/>
          <w:sz w:val="24"/>
        </w:rPr>
        <w:t xml:space="preserve">除上述（2）、（</w:t>
      </w:r>
      <w:r>
        <w:rPr>
          <w:rFonts w:ascii="宋体" w:hAnsi="宋体"/>
          <w:bCs/>
          <w:sz w:val="24"/>
        </w:rPr>
        <w:t xml:space="preserve">9</w:t>
      </w:r>
      <w:r>
        <w:rPr>
          <w:rFonts w:ascii="宋体" w:hAnsi="宋体"/>
          <w:bCs/>
          <w:sz w:val="24"/>
        </w:rPr>
        <w:t xml:space="preserve">）、（1</w:t>
      </w:r>
      <w:r>
        <w:rPr>
          <w:rFonts w:ascii="宋体" w:hAnsi="宋体"/>
          <w:bCs/>
          <w:sz w:val="24"/>
        </w:rPr>
        <w:t xml:space="preserve">3</w:t>
      </w:r>
      <w:r>
        <w:rPr>
          <w:rFonts w:ascii="宋体" w:hAnsi="宋体"/>
          <w:bCs/>
          <w:sz w:val="24"/>
        </w:rPr>
        <w:t xml:space="preserve">）、（1</w:t>
      </w:r>
      <w:r>
        <w:rPr>
          <w:rFonts w:ascii="宋体" w:hAnsi="宋体"/>
          <w:bCs/>
          <w:sz w:val="24"/>
        </w:rPr>
        <w:t xml:space="preserve">4</w:t>
      </w:r>
      <w:r>
        <w:rPr>
          <w:rFonts w:ascii="宋体" w:hAnsi="宋体"/>
          <w:bCs/>
          <w:sz w:val="24"/>
        </w:rPr>
        <w:t xml:space="preserve">）情形之外，因证券/期货市场波动、证券发行人合并、集合计划规模变动等管理人之外的因素致使集合计划投资比例不符合上述规定投资比例的，管理人应当在10个交易日内进行调整。法律法规或监管机构另有规定的，从其</w:t>
      </w:r>
      <w:r>
        <w:rPr>
          <w:rFonts w:ascii="宋体" w:hAnsi="宋体"/>
          <w:bCs/>
          <w:sz w:val="24"/>
        </w:rPr>
        <w:t xml:space="preserve">规定。</w:t>
      </w:r>
      <w:r/>
    </w:p>
    <w:p>
      <w:pPr>
        <w:pStyle w:val="369"/>
        <w:ind w:firstLine="480"/>
        <w:snapToGrid w:val="1"/>
        <w:spacing w:lineRule="auto" w:line="360"/>
        <w:rPr>
          <w:rFonts w:ascii="宋体" w:hAnsi="宋体"/>
          <w:bCs/>
          <w:sz w:val="24"/>
        </w:rPr>
      </w:pPr>
      <w:r>
        <w:rPr>
          <w:rFonts w:ascii="宋体" w:hAnsi="宋体"/>
          <w:bCs/>
          <w:sz w:val="24"/>
        </w:rPr>
        <w:t xml:space="preserve">管理人应当自集合计划合同生效之日起</w:t>
      </w:r>
      <w:r>
        <w:rPr>
          <w:rFonts w:ascii="宋体" w:hAnsi="宋体"/>
          <w:bCs/>
          <w:sz w:val="24"/>
        </w:rPr>
        <w:t xml:space="preserve">6</w:t>
      </w:r>
      <w:r>
        <w:rPr>
          <w:rFonts w:ascii="宋体" w:hAnsi="宋体"/>
          <w:bCs/>
          <w:sz w:val="24"/>
        </w:rPr>
        <w:t xml:space="preserve">个月内使集合计划的投资组合比例符合集合计划合同的有关约定。在上述期间内，本集合计划的投资范围、投资策略应当符合本合同的约定。托管人对集合计划的投资的监督与检查自本合同生效之日起开始。</w:t>
      </w:r>
      <w:r/>
    </w:p>
    <w:p>
      <w:pPr>
        <w:pStyle w:val="369"/>
        <w:ind w:firstLine="480"/>
        <w:snapToGrid w:val="1"/>
        <w:spacing w:lineRule="auto" w:line="360"/>
        <w:rPr>
          <w:rFonts w:ascii="宋体" w:hAnsi="宋体"/>
          <w:bCs/>
          <w:sz w:val="24"/>
        </w:rPr>
      </w:pPr>
      <w:r>
        <w:rPr>
          <w:rFonts w:ascii="宋体" w:hAnsi="宋体"/>
          <w:bCs/>
          <w:sz w:val="24"/>
        </w:rPr>
        <w:t xml:space="preserve">法律法规或监管部门取消或变更上述限制，如适用于本集合计划，管理人在履行适当程序后，则本集合计划投资不再受相关限制或以变更后的规定为准，但须提前公告，不需要经集合计划份额持有人大会审议。</w:t>
      </w:r>
      <w:r/>
    </w:p>
    <w:p>
      <w:pPr>
        <w:pStyle w:val="369"/>
        <w:ind w:firstLine="480"/>
        <w:snapToGrid w:val="1"/>
        <w:spacing w:lineRule="auto" w:line="360"/>
        <w:rPr>
          <w:rFonts w:ascii="宋体" w:hAnsi="宋体"/>
          <w:bCs/>
          <w:sz w:val="24"/>
        </w:rPr>
      </w:pPr>
      <w:r>
        <w:rPr>
          <w:rFonts w:ascii="宋体" w:hAnsi="宋体"/>
          <w:bCs/>
          <w:sz w:val="24"/>
        </w:rPr>
        <w:t xml:space="preserve">2、禁止行为</w:t>
      </w:r>
      <w:r/>
    </w:p>
    <w:p>
      <w:pPr>
        <w:pStyle w:val="369"/>
        <w:ind w:firstLine="480"/>
        <w:snapToGrid w:val="1"/>
        <w:spacing w:lineRule="auto" w:line="360"/>
        <w:rPr>
          <w:rFonts w:ascii="宋体" w:hAnsi="宋体"/>
          <w:bCs/>
          <w:sz w:val="24"/>
        </w:rPr>
      </w:pPr>
      <w:r>
        <w:rPr>
          <w:rFonts w:ascii="宋体" w:hAnsi="宋体"/>
          <w:bCs/>
          <w:sz w:val="24"/>
        </w:rPr>
        <w:t xml:space="preserve">为维护集合计划份额持有人的合法权益，</w:t>
      </w:r>
      <w:r>
        <w:rPr>
          <w:rFonts w:ascii="宋体" w:hAnsi="宋体"/>
          <w:bCs/>
          <w:sz w:val="24"/>
        </w:rPr>
        <w:t xml:space="preserve">集合计划</w:t>
      </w:r>
      <w:r>
        <w:rPr>
          <w:rFonts w:ascii="宋体" w:hAnsi="宋体"/>
          <w:bCs/>
          <w:sz w:val="24"/>
        </w:rPr>
        <w:t xml:space="preserve">财产不得用于下列投资或者活动：</w:t>
      </w:r>
      <w:r/>
    </w:p>
    <w:p>
      <w:pPr>
        <w:pStyle w:val="369"/>
        <w:ind w:firstLine="480"/>
        <w:snapToGrid w:val="1"/>
        <w:spacing w:lineRule="auto" w:line="360"/>
        <w:rPr>
          <w:rFonts w:ascii="宋体" w:hAnsi="宋体"/>
          <w:bCs/>
          <w:sz w:val="24"/>
        </w:rPr>
      </w:pPr>
      <w:r>
        <w:rPr>
          <w:rFonts w:ascii="宋体" w:hAnsi="宋体"/>
          <w:bCs/>
          <w:sz w:val="24"/>
        </w:rPr>
        <w:t xml:space="preserve">（1）承</w:t>
      </w:r>
      <w:r>
        <w:rPr>
          <w:rFonts w:ascii="宋体" w:hAnsi="宋体"/>
          <w:bCs/>
          <w:sz w:val="24"/>
        </w:rPr>
        <w:t xml:space="preserve">销证券；</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w:t>
      </w:r>
      <w:r>
        <w:rPr>
          <w:rFonts w:ascii="宋体" w:hAnsi="宋体"/>
          <w:bCs/>
          <w:sz w:val="24"/>
        </w:rPr>
        <w:t xml:space="preserve">）</w:t>
      </w:r>
      <w:r>
        <w:rPr>
          <w:rFonts w:ascii="宋体" w:hAnsi="宋体"/>
          <w:bCs/>
          <w:sz w:val="24"/>
        </w:rPr>
        <w:t xml:space="preserve">违反规定</w:t>
      </w:r>
      <w:r>
        <w:rPr>
          <w:rFonts w:ascii="宋体" w:hAnsi="宋体"/>
          <w:bCs/>
          <w:sz w:val="24"/>
        </w:rPr>
        <w:t xml:space="preserve">向他人贷</w:t>
      </w:r>
      <w:r>
        <w:rPr>
          <w:rFonts w:ascii="宋体" w:hAnsi="宋体"/>
          <w:bCs/>
          <w:sz w:val="24"/>
        </w:rPr>
        <w:t xml:space="preserve">款或者提供担保；</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3</w:t>
      </w:r>
      <w:r>
        <w:rPr>
          <w:rFonts w:ascii="宋体" w:hAnsi="宋体"/>
          <w:bCs/>
          <w:sz w:val="24"/>
        </w:rPr>
        <w:t xml:space="preserve">）从事承担无限责任的投资；</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4</w:t>
      </w:r>
      <w:r>
        <w:rPr>
          <w:rFonts w:ascii="宋体" w:hAnsi="宋体"/>
          <w:bCs/>
          <w:sz w:val="24"/>
        </w:rPr>
        <w:t xml:space="preserve">）买卖其他</w:t>
      </w:r>
      <w:r>
        <w:rPr>
          <w:rFonts w:ascii="宋体" w:hAnsi="宋体"/>
          <w:bCs/>
          <w:sz w:val="24"/>
        </w:rPr>
        <w:t xml:space="preserve">集合资产</w:t>
      </w:r>
      <w:r>
        <w:rPr>
          <w:rFonts w:ascii="宋体" w:hAnsi="宋体"/>
          <w:bCs/>
          <w:sz w:val="24"/>
        </w:rPr>
        <w:t xml:space="preserve">管理</w:t>
      </w:r>
      <w:r>
        <w:rPr>
          <w:rFonts w:ascii="宋体" w:hAnsi="宋体"/>
          <w:bCs/>
          <w:sz w:val="24"/>
        </w:rPr>
        <w:t xml:space="preserve">计划</w:t>
      </w:r>
      <w:r>
        <w:rPr>
          <w:rFonts w:ascii="宋体" w:hAnsi="宋体"/>
          <w:bCs/>
          <w:sz w:val="24"/>
        </w:rPr>
        <w:t xml:space="preserve">份额或基金份额，但是</w:t>
      </w:r>
      <w:r>
        <w:rPr>
          <w:rFonts w:ascii="宋体" w:hAnsi="宋体"/>
          <w:bCs/>
          <w:sz w:val="24"/>
        </w:rPr>
        <w:t xml:space="preserve">中国证监会</w:t>
      </w:r>
      <w:r>
        <w:rPr>
          <w:rFonts w:ascii="宋体" w:hAnsi="宋体"/>
          <w:bCs/>
          <w:sz w:val="24"/>
        </w:rPr>
        <w:t xml:space="preserve">另有规定的除外；</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5</w:t>
      </w:r>
      <w:r>
        <w:rPr>
          <w:rFonts w:ascii="宋体" w:hAnsi="宋体"/>
          <w:bCs/>
          <w:sz w:val="24"/>
        </w:rPr>
        <w:t xml:space="preserve">）向管理人、托管人出资；</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6</w:t>
      </w:r>
      <w:r>
        <w:rPr>
          <w:rFonts w:ascii="宋体" w:hAnsi="宋体"/>
          <w:bCs/>
          <w:sz w:val="24"/>
        </w:rPr>
        <w:t xml:space="preserve">）从事内幕交易、操纵证券交易价格及其他不正当的证券交易活动；</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7</w:t>
      </w:r>
      <w:r>
        <w:rPr>
          <w:rFonts w:ascii="宋体" w:hAnsi="宋体"/>
          <w:bCs/>
          <w:sz w:val="24"/>
        </w:rPr>
        <w:t xml:space="preserve">）法律</w:t>
      </w:r>
      <w:r>
        <w:rPr>
          <w:rFonts w:ascii="宋体" w:hAnsi="宋体"/>
          <w:bCs/>
          <w:sz w:val="24"/>
        </w:rPr>
        <w:t xml:space="preserve">、行政</w:t>
      </w:r>
      <w:r>
        <w:rPr>
          <w:rFonts w:ascii="宋体" w:hAnsi="宋体"/>
          <w:bCs/>
          <w:sz w:val="24"/>
        </w:rPr>
        <w:t xml:space="preserve">法规</w:t>
      </w:r>
      <w:r>
        <w:rPr>
          <w:rFonts w:ascii="宋体" w:hAnsi="宋体"/>
          <w:bCs/>
          <w:sz w:val="24"/>
        </w:rPr>
        <w:t xml:space="preserve">和</w:t>
      </w:r>
      <w:r>
        <w:rPr>
          <w:rFonts w:ascii="宋体" w:hAnsi="宋体"/>
          <w:bCs/>
          <w:sz w:val="24"/>
        </w:rPr>
        <w:t xml:space="preserve">中国证监会规定禁止的其他活动</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管理人运用</w:t>
      </w:r>
      <w:r>
        <w:rPr>
          <w:rFonts w:ascii="宋体" w:hAnsi="宋体"/>
          <w:bCs/>
          <w:sz w:val="24"/>
        </w:rPr>
        <w:t xml:space="preserve">集合计划</w:t>
      </w:r>
      <w:r>
        <w:rPr>
          <w:rFonts w:ascii="宋体" w:hAnsi="宋体"/>
          <w:bCs/>
          <w:sz w:val="24"/>
        </w:rPr>
        <w:t xml:space="preserve">财产买卖管理人、托管人及其控股股东、实际控制人或者与其有重大利害关系的公司发行的证券或者承销期内承销的证券，或者从事其他重大关联交易的，应当符合</w:t>
      </w:r>
      <w:r>
        <w:rPr>
          <w:rFonts w:ascii="宋体" w:hAnsi="宋体"/>
          <w:bCs/>
          <w:sz w:val="24"/>
        </w:rPr>
        <w:t xml:space="preserve">集合计划</w:t>
      </w:r>
      <w:r>
        <w:rPr>
          <w:rFonts w:ascii="宋体" w:hAnsi="宋体"/>
          <w:bCs/>
          <w:sz w:val="24"/>
        </w:rPr>
        <w:t xml:space="preserve">的投资目标和投资策略，遵循</w:t>
      </w:r>
      <w:r>
        <w:rPr>
          <w:rFonts w:ascii="宋体" w:hAnsi="宋体"/>
          <w:bCs/>
          <w:sz w:val="24"/>
        </w:rPr>
        <w:t xml:space="preserve">集合计</w:t>
      </w:r>
      <w:r>
        <w:rPr>
          <w:rFonts w:ascii="宋体" w:hAnsi="宋体"/>
          <w:bCs/>
          <w:sz w:val="24"/>
        </w:rPr>
        <w:t xml:space="preserve">划</w:t>
      </w:r>
      <w:r>
        <w:rPr>
          <w:rFonts w:ascii="宋体" w:hAnsi="宋体"/>
          <w:bCs/>
          <w:sz w:val="24"/>
        </w:rPr>
        <w:t xml:space="preserve">份额持有人利益优先原则，防范利益冲突，建立健全内部审</w:t>
      </w:r>
      <w:r>
        <w:rPr>
          <w:rFonts w:ascii="宋体" w:hAnsi="宋体"/>
          <w:bCs/>
          <w:sz w:val="24"/>
        </w:rPr>
        <w:t xml:space="preserve">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r/>
    </w:p>
    <w:p>
      <w:pPr>
        <w:pStyle w:val="369"/>
        <w:ind w:firstLine="480"/>
        <w:snapToGrid w:val="1"/>
        <w:spacing w:lineRule="auto" w:line="360"/>
        <w:rPr>
          <w:rFonts w:ascii="宋体" w:hAnsi="宋体"/>
          <w:bCs/>
          <w:sz w:val="24"/>
        </w:rPr>
      </w:pPr>
      <w:r>
        <w:rPr>
          <w:rFonts w:ascii="宋体" w:hAnsi="宋体"/>
          <w:bCs/>
          <w:sz w:val="24"/>
        </w:rPr>
        <w:t xml:space="preserve">法律法规或监管部门取消上述组合限制、禁止行为规定或从事关联交易的条件和要求，本集合计划可不受相关限制。法律法规或监管部门对上述组合限制、禁止行为规定或从事关联交易的条件和要求进行变更的，本集合计划可以变更后的规定为准。经与托管人协商一致</w:t>
      </w:r>
      <w:r>
        <w:rPr>
          <w:bCs/>
          <w:sz w:val="24"/>
        </w:rPr>
        <w:t xml:space="preserve">并</w:t>
      </w:r>
      <w:r>
        <w:rPr>
          <w:bCs/>
          <w:sz w:val="24"/>
        </w:rPr>
        <w:t xml:space="preserve">履行相关程序后</w:t>
      </w:r>
      <w:r>
        <w:rPr>
          <w:rFonts w:ascii="宋体" w:hAnsi="宋体"/>
          <w:bCs/>
          <w:sz w:val="24"/>
        </w:rPr>
        <w:t xml:space="preserve">，管理人可依据法律法规或监管</w:t>
      </w:r>
      <w:r>
        <w:rPr>
          <w:rFonts w:ascii="宋体" w:hAnsi="宋体"/>
          <w:bCs/>
          <w:sz w:val="24"/>
        </w:rPr>
        <w:t xml:space="preserve">部门规定直接对集合计划合同进行变更，该变更无须召开集合计划份额持有人大会审议。</w:t>
      </w:r>
      <w:r/>
    </w:p>
    <w:p>
      <w:pPr>
        <w:pStyle w:val="369"/>
        <w:ind w:firstLine="480"/>
        <w:snapToGrid w:val="1"/>
        <w:spacing w:lineRule="auto" w:line="360"/>
        <w:rPr>
          <w:rFonts w:ascii="宋体" w:hAnsi="宋体"/>
          <w:bCs/>
          <w:sz w:val="24"/>
        </w:rPr>
      </w:pPr>
      <w:r>
        <w:rPr>
          <w:rFonts w:ascii="宋体" w:hAnsi="宋体"/>
          <w:bCs/>
          <w:sz w:val="24"/>
        </w:rPr>
        <w:t xml:space="preserve">五、业绩比较基准</w:t>
      </w:r>
      <w:r/>
    </w:p>
    <w:p>
      <w:pPr>
        <w:pStyle w:val="369"/>
        <w:ind w:firstLine="480"/>
        <w:snapToGrid w:val="1"/>
        <w:spacing w:lineRule="auto" w:line="360"/>
        <w:rPr>
          <w:rFonts w:ascii="宋体" w:hAnsi="宋体"/>
          <w:bCs/>
          <w:sz w:val="24"/>
        </w:rPr>
      </w:pPr>
      <w:r>
        <w:rPr>
          <w:rFonts w:ascii="宋体" w:hAnsi="宋体"/>
          <w:bCs/>
          <w:sz w:val="24"/>
        </w:rPr>
        <w:t xml:space="preserve">本集合计划采用“</w:t>
      </w:r>
      <w:r>
        <w:rPr>
          <w:rFonts w:ascii="宋体" w:hAnsi="宋体"/>
          <w:bCs/>
          <w:sz w:val="24"/>
        </w:rPr>
        <w:t xml:space="preserve">中债新综合指数（全价）指数</w:t>
      </w:r>
      <w:r>
        <w:rPr>
          <w:rFonts w:ascii="宋体" w:hAnsi="宋体"/>
          <w:bCs/>
          <w:sz w:val="24"/>
        </w:rPr>
        <w:t xml:space="preserve">收益率</w:t>
      </w:r>
      <w:r>
        <w:rPr>
          <w:rFonts w:ascii="宋体" w:hAnsi="宋体"/>
          <w:bCs/>
          <w:sz w:val="24"/>
        </w:rPr>
        <w:t xml:space="preserve">×</w:t>
      </w:r>
      <w:r>
        <w:rPr>
          <w:rFonts w:ascii="宋体" w:hAnsi="宋体"/>
          <w:bCs/>
          <w:sz w:val="24"/>
        </w:rPr>
        <w:t xml:space="preserve">85</w:t>
      </w:r>
      <w:r>
        <w:rPr>
          <w:rFonts w:ascii="宋体" w:hAnsi="宋体"/>
          <w:bCs/>
          <w:sz w:val="24"/>
        </w:rPr>
        <w:t xml:space="preserve">%+沪深300指数收益率×</w:t>
      </w:r>
      <w:r>
        <w:rPr>
          <w:rFonts w:ascii="宋体" w:hAnsi="宋体"/>
          <w:bCs/>
          <w:sz w:val="24"/>
        </w:rPr>
        <w:t xml:space="preserve">15</w:t>
      </w:r>
      <w:r>
        <w:rPr>
          <w:rFonts w:ascii="宋体" w:hAnsi="宋体"/>
          <w:bCs/>
          <w:sz w:val="24"/>
        </w:rPr>
        <w:t xml:space="preserve">%</w:t>
      </w:r>
      <w:r>
        <w:rPr>
          <w:rFonts w:ascii="宋体" w:hAnsi="宋体"/>
          <w:bCs/>
          <w:sz w:val="24"/>
        </w:rPr>
        <w:t xml:space="preserve">”作为业绩比较基准。</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中债新综合指数（全价）由中央国债登记结算有限责任公司编制，该指数旨在综合反映债券全市场整体价格和投资回报情况。该指数涵盖银行间市场和交易所市场，指数成</w:t>
      </w:r>
      <w:r>
        <w:rPr>
          <w:rFonts w:ascii="宋体" w:hAnsi="宋体"/>
          <w:bCs/>
          <w:sz w:val="24"/>
        </w:rPr>
        <w:t xml:space="preserve">份券种包括国债、企业债等主要债券品种。该指数具有广泛的市场代表性，能够反映债券市场总体走势，适合作为本集合计划的业绩比较基准。</w:t>
      </w:r>
      <w:r/>
    </w:p>
    <w:p>
      <w:pPr>
        <w:pStyle w:val="369"/>
        <w:ind w:firstLine="480"/>
        <w:snapToGrid w:val="1"/>
        <w:spacing w:lineRule="auto" w:line="360"/>
        <w:rPr>
          <w:rFonts w:ascii="宋体" w:hAnsi="宋体"/>
          <w:bCs/>
          <w:sz w:val="24"/>
        </w:rPr>
      </w:pPr>
      <w:r>
        <w:rPr>
          <w:rFonts w:ascii="宋体" w:hAnsi="宋体"/>
          <w:bCs/>
          <w:sz w:val="24"/>
        </w:rPr>
        <w:t xml:space="preserve">沪深</w:t>
      </w:r>
      <w:r>
        <w:rPr>
          <w:rFonts w:ascii="宋体" w:hAnsi="宋体"/>
          <w:bCs/>
          <w:sz w:val="24"/>
        </w:rPr>
        <w:t xml:space="preserve">300</w:t>
      </w:r>
      <w:r>
        <w:rPr>
          <w:rFonts w:ascii="宋体" w:hAnsi="宋体"/>
          <w:bCs/>
          <w:sz w:val="24"/>
        </w:rPr>
        <w:t xml:space="preserve">指数是中</w:t>
      </w:r>
      <w:r>
        <w:rPr>
          <w:rFonts w:ascii="宋体" w:hAnsi="宋体"/>
          <w:bCs/>
          <w:sz w:val="24"/>
        </w:rPr>
        <w:t xml:space="preserve">证指数有限公司依据国际指数编制标准并结合中国市场的实际情况编制的沪深两市统一指数，科学地反映了我国证券市场的整体业绩表现，具有一定的权威性和市场代表性，业内也普遍采用。因此，沪深</w:t>
      </w:r>
      <w:r>
        <w:rPr>
          <w:rFonts w:ascii="宋体" w:hAnsi="宋体"/>
          <w:bCs/>
          <w:sz w:val="24"/>
        </w:rPr>
        <w:t xml:space="preserve">300</w:t>
      </w:r>
      <w:r>
        <w:rPr>
          <w:rFonts w:ascii="宋体" w:hAnsi="宋体"/>
          <w:bCs/>
          <w:sz w:val="24"/>
        </w:rPr>
        <w:t xml:space="preserve">指数是衡量本集合计划</w:t>
      </w:r>
      <w:r>
        <w:rPr>
          <w:rFonts w:ascii="宋体" w:hAnsi="宋体"/>
          <w:bCs/>
          <w:sz w:val="24"/>
        </w:rPr>
        <w:t xml:space="preserve">股票投资业绩的理想基准。</w:t>
      </w:r>
      <w:r/>
    </w:p>
    <w:p>
      <w:pPr>
        <w:pStyle w:val="369"/>
        <w:ind w:firstLine="480"/>
        <w:snapToGrid w:val="1"/>
        <w:spacing w:lineRule="auto" w:line="360"/>
        <w:rPr>
          <w:rFonts w:ascii="宋体" w:hAnsi="宋体"/>
          <w:bCs/>
          <w:sz w:val="24"/>
        </w:rPr>
      </w:pPr>
      <w:r>
        <w:rPr>
          <w:rFonts w:ascii="宋体" w:hAnsi="宋体"/>
          <w:bCs/>
          <w:sz w:val="24"/>
        </w:rPr>
        <w:t xml:space="preserve">本集合计划为混合型集合资产管理计划，投资于股票资产占集合计划资产的比例范围为0-</w:t>
      </w:r>
      <w:r>
        <w:rPr>
          <w:rFonts w:ascii="宋体" w:hAnsi="宋体"/>
          <w:bCs/>
          <w:sz w:val="24"/>
        </w:rPr>
        <w:t xml:space="preserve">30</w:t>
      </w:r>
      <w:r>
        <w:rPr>
          <w:rFonts w:ascii="宋体" w:hAnsi="宋体"/>
          <w:bCs/>
          <w:sz w:val="24"/>
        </w:rPr>
        <w:t xml:space="preserve">%。根据本集合计划设定的投资范围和投资比例，管理人以</w:t>
      </w:r>
      <w:r>
        <w:rPr>
          <w:rFonts w:ascii="宋体" w:hAnsi="宋体"/>
          <w:bCs/>
          <w:sz w:val="24"/>
        </w:rPr>
        <w:t xml:space="preserve">85</w:t>
      </w:r>
      <w:r>
        <w:rPr>
          <w:rFonts w:ascii="宋体" w:hAnsi="宋体"/>
          <w:bCs/>
          <w:sz w:val="24"/>
        </w:rPr>
        <w:t xml:space="preserve">%的</w:t>
      </w:r>
      <w:r>
        <w:rPr>
          <w:rFonts w:ascii="宋体" w:hAnsi="宋体"/>
          <w:bCs/>
          <w:sz w:val="24"/>
        </w:rPr>
        <w:t xml:space="preserve">中债新综合指数（全价）指数和15</w:t>
      </w:r>
      <w:r>
        <w:rPr>
          <w:rFonts w:ascii="宋体" w:hAnsi="宋体"/>
          <w:bCs/>
          <w:sz w:val="24"/>
        </w:rPr>
        <w:t xml:space="preserve">%</w:t>
      </w:r>
      <w:r>
        <w:rPr>
          <w:rFonts w:ascii="宋体" w:hAnsi="宋体"/>
          <w:bCs/>
          <w:sz w:val="24"/>
        </w:rPr>
        <w:t xml:space="preserve">的</w:t>
      </w:r>
      <w:r>
        <w:rPr>
          <w:rFonts w:ascii="宋体" w:hAnsi="宋体"/>
          <w:bCs/>
          <w:sz w:val="24"/>
        </w:rPr>
        <w:t xml:space="preserve">沪深3</w:t>
      </w:r>
      <w:r>
        <w:rPr>
          <w:rFonts w:ascii="宋体" w:hAnsi="宋体"/>
          <w:bCs/>
          <w:sz w:val="24"/>
        </w:rPr>
        <w:t xml:space="preserve">00</w:t>
      </w:r>
      <w:r>
        <w:rPr>
          <w:rFonts w:ascii="宋体" w:hAnsi="宋体"/>
          <w:bCs/>
          <w:sz w:val="24"/>
        </w:rPr>
        <w:t xml:space="preserve">指数构建的复合指数作为本集合计划的业绩比较基准，与本集合计划的投资风格基本一致，因此上述业绩比较基准目前能够较好地反映本集合计划的投资风格及风险收益特征。</w:t>
      </w:r>
      <w:r/>
    </w:p>
    <w:p>
      <w:pPr>
        <w:pStyle w:val="369"/>
        <w:ind w:firstLine="480"/>
        <w:snapToGrid w:val="1"/>
        <w:spacing w:lineRule="auto" w:line="360"/>
        <w:rPr>
          <w:rFonts w:ascii="宋体" w:hAnsi="宋体"/>
          <w:bCs/>
          <w:sz w:val="24"/>
        </w:rPr>
      </w:pPr>
      <w:r>
        <w:rPr>
          <w:rFonts w:ascii="宋体" w:hAnsi="宋体"/>
          <w:bCs/>
          <w:sz w:val="24"/>
        </w:rPr>
        <w:t xml:space="preserve">如果指数编制单位更改以上指数名称、停止或变更以上指数的编制或发布，或以上指数由其他指数替代、或由于指数编制方法等重大变更导致以上指数不宜继续作为业绩比较基准，或如果今后法律法规发生变化，或者有更权威的、更能为市场普遍接受的业绩比较基准推出，或者是市场上出现更加适用于本集合计划的业绩比较基准时，本集合计</w:t>
      </w:r>
      <w:r>
        <w:rPr>
          <w:rFonts w:ascii="宋体" w:hAnsi="宋体"/>
          <w:bCs/>
          <w:sz w:val="24"/>
        </w:rPr>
        <w:t xml:space="preserve">划管理人可以根据本集合计划的投资范围和投资策略，调整集合计划的业绩比较基准，但应在取得托管人同意后履行适当程序，并及时公告，无须召开集合计划份额持有人大会审议。</w:t>
      </w:r>
      <w:r/>
    </w:p>
    <w:p>
      <w:pPr>
        <w:pStyle w:val="369"/>
        <w:ind w:firstLine="480"/>
        <w:snapToGrid w:val="1"/>
        <w:spacing w:lineRule="auto" w:line="360"/>
        <w:rPr>
          <w:rFonts w:ascii="宋体" w:hAnsi="宋体"/>
          <w:bCs/>
          <w:sz w:val="24"/>
        </w:rPr>
      </w:pPr>
      <w:r>
        <w:rPr>
          <w:rFonts w:ascii="宋体" w:hAnsi="宋体"/>
          <w:bCs/>
          <w:sz w:val="24"/>
        </w:rPr>
        <w:t xml:space="preserve">六、风险收益特征</w:t>
      </w:r>
      <w:r/>
    </w:p>
    <w:p>
      <w:pPr>
        <w:pStyle w:val="369"/>
        <w:ind w:firstLine="480"/>
        <w:snapToGrid w:val="1"/>
        <w:spacing w:lineRule="auto" w:line="360"/>
        <w:rPr>
          <w:rFonts w:ascii="宋体" w:hAnsi="宋体"/>
          <w:bCs/>
          <w:sz w:val="24"/>
        </w:rPr>
      </w:pPr>
      <w:r>
        <w:rPr>
          <w:rFonts w:ascii="宋体" w:hAnsi="宋体"/>
          <w:bCs/>
          <w:sz w:val="24"/>
        </w:rPr>
        <w:t xml:space="preserve">本集合计划是一只混合型集合资产管理计划，理论上其预期收益与预期风险高于货币市场基金、债券型基金、债券型集合资产管理计划，低于股票型基金、股票型集合资产管理计划。</w:t>
      </w:r>
      <w:r/>
    </w:p>
    <w:p>
      <w:pPr>
        <w:pStyle w:val="369"/>
        <w:ind w:firstLine="480"/>
        <w:snapToGrid w:val="1"/>
        <w:spacing w:lineRule="auto" w:line="360"/>
        <w:rPr>
          <w:rFonts w:ascii="宋体" w:hAnsi="宋体"/>
          <w:bCs/>
          <w:sz w:val="24"/>
        </w:rPr>
      </w:pPr>
      <w:r>
        <w:rPr>
          <w:rFonts w:ascii="宋体" w:hAnsi="宋体"/>
          <w:bCs/>
          <w:sz w:val="24"/>
        </w:rPr>
        <w:t xml:space="preserve">七、管理人代表</w:t>
      </w:r>
      <w:r>
        <w:rPr>
          <w:rFonts w:ascii="宋体" w:hAnsi="宋体"/>
          <w:bCs/>
          <w:sz w:val="24"/>
        </w:rPr>
        <w:t xml:space="preserve">集合计划</w:t>
      </w:r>
      <w:r>
        <w:rPr>
          <w:rFonts w:ascii="宋体" w:hAnsi="宋体"/>
          <w:bCs/>
          <w:sz w:val="24"/>
        </w:rPr>
        <w:t xml:space="preserve">行使股东或债权人权利的处理原则及方法</w:t>
      </w:r>
      <w:r/>
    </w:p>
    <w:p>
      <w:pPr>
        <w:pStyle w:val="369"/>
        <w:ind w:firstLine="480"/>
        <w:snapToGrid w:val="1"/>
        <w:spacing w:lineRule="auto" w:line="360"/>
        <w:rPr>
          <w:rFonts w:ascii="宋体" w:hAnsi="宋体"/>
          <w:bCs/>
          <w:sz w:val="24"/>
        </w:rPr>
      </w:pPr>
      <w:r>
        <w:rPr>
          <w:rFonts w:ascii="宋体" w:hAnsi="宋体"/>
          <w:bCs/>
          <w:sz w:val="24"/>
        </w:rPr>
        <w:t xml:space="preserve">1、管理人按照国家有关规定代表</w:t>
      </w:r>
      <w:r>
        <w:rPr>
          <w:rFonts w:ascii="宋体" w:hAnsi="宋体"/>
          <w:bCs/>
          <w:sz w:val="24"/>
        </w:rPr>
        <w:t xml:space="preserve">集合计划</w:t>
      </w:r>
      <w:r>
        <w:rPr>
          <w:rFonts w:ascii="宋体" w:hAnsi="宋体"/>
          <w:bCs/>
          <w:sz w:val="24"/>
        </w:rPr>
        <w:t xml:space="preserve">独立行使股东或债权人权利，保护</w:t>
      </w:r>
      <w:r>
        <w:rPr>
          <w:rFonts w:ascii="宋体" w:hAnsi="宋体"/>
          <w:bCs/>
          <w:sz w:val="24"/>
        </w:rPr>
        <w:t xml:space="preserve">集合计划</w:t>
      </w:r>
      <w:r>
        <w:rPr>
          <w:rFonts w:ascii="宋体" w:hAnsi="宋体"/>
          <w:bCs/>
          <w:sz w:val="24"/>
        </w:rPr>
        <w:t xml:space="preserve">份额持有人的利益； </w:t>
      </w:r>
      <w:r/>
    </w:p>
    <w:p>
      <w:pPr>
        <w:pStyle w:val="369"/>
        <w:ind w:firstLine="480"/>
        <w:snapToGrid w:val="1"/>
        <w:spacing w:lineRule="auto" w:line="360"/>
        <w:rPr>
          <w:rFonts w:ascii="宋体" w:hAnsi="宋体"/>
          <w:bCs/>
          <w:sz w:val="24"/>
        </w:rPr>
      </w:pPr>
      <w:r>
        <w:rPr>
          <w:rFonts w:ascii="宋体" w:hAnsi="宋体"/>
          <w:bCs/>
          <w:sz w:val="24"/>
        </w:rPr>
        <w:t xml:space="preserve">2、不谋求对</w:t>
      </w:r>
      <w:r>
        <w:rPr>
          <w:rFonts w:ascii="宋体" w:hAnsi="宋体"/>
          <w:bCs/>
          <w:sz w:val="24"/>
        </w:rPr>
        <w:t xml:space="preserve">上市公司的控股； </w:t>
      </w:r>
      <w:r/>
    </w:p>
    <w:p>
      <w:pPr>
        <w:pStyle w:val="369"/>
        <w:ind w:firstLine="480"/>
        <w:snapToGrid w:val="1"/>
        <w:spacing w:lineRule="auto" w:line="360"/>
        <w:rPr>
          <w:rFonts w:ascii="宋体" w:hAnsi="宋体"/>
          <w:bCs/>
          <w:sz w:val="24"/>
        </w:rPr>
      </w:pPr>
      <w:r>
        <w:rPr>
          <w:rFonts w:ascii="宋体" w:hAnsi="宋体"/>
          <w:bCs/>
          <w:sz w:val="24"/>
        </w:rPr>
        <w:t xml:space="preserve">3、有利于</w:t>
      </w:r>
      <w:r>
        <w:rPr>
          <w:rFonts w:ascii="宋体" w:hAnsi="宋体"/>
          <w:bCs/>
          <w:sz w:val="24"/>
        </w:rPr>
        <w:t xml:space="preserve">集合计划</w:t>
      </w:r>
      <w:r>
        <w:rPr>
          <w:rFonts w:ascii="宋体" w:hAnsi="宋体"/>
          <w:bCs/>
          <w:sz w:val="24"/>
        </w:rPr>
        <w:t xml:space="preserve">财产的安全与增值； </w:t>
      </w:r>
      <w:r/>
    </w:p>
    <w:p>
      <w:pPr>
        <w:pStyle w:val="369"/>
        <w:ind w:firstLine="480"/>
        <w:snapToGrid w:val="1"/>
        <w:spacing w:lineRule="auto" w:line="360"/>
        <w:rPr>
          <w:rFonts w:ascii="宋体" w:hAnsi="宋体"/>
          <w:bCs/>
          <w:sz w:val="24"/>
        </w:rPr>
      </w:pPr>
      <w:r>
        <w:rPr>
          <w:rFonts w:ascii="宋体" w:hAnsi="宋体"/>
          <w:bCs/>
          <w:sz w:val="24"/>
        </w:rPr>
        <w:t xml:space="preserve">4、不通过关联交易为自身、雇员、授权代</w:t>
      </w:r>
      <w:r>
        <w:rPr>
          <w:rFonts w:ascii="宋体" w:hAnsi="宋体"/>
          <w:bCs/>
          <w:sz w:val="24"/>
        </w:rPr>
        <w:t xml:space="preserve">表</w:t>
      </w:r>
      <w:r>
        <w:rPr>
          <w:rFonts w:ascii="宋体" w:hAnsi="宋体"/>
          <w:bCs/>
          <w:sz w:val="24"/>
        </w:rPr>
        <w:t xml:space="preserve">或任何存在利害关系的第三人牟取任何不当利益。</w:t>
      </w:r>
      <w:r/>
    </w:p>
    <w:p>
      <w:pPr>
        <w:pStyle w:val="369"/>
        <w:ind w:firstLine="480"/>
        <w:snapToGrid w:val="1"/>
        <w:spacing w:lineRule="auto" w:line="360"/>
        <w:rPr>
          <w:rFonts w:ascii="宋体" w:hAnsi="宋体"/>
          <w:bCs/>
          <w:sz w:val="24"/>
        </w:rPr>
      </w:pPr>
      <w:r>
        <w:rPr>
          <w:rFonts w:ascii="宋体" w:hAnsi="宋体"/>
          <w:bCs/>
          <w:sz w:val="24"/>
        </w:rPr>
        <w:t xml:space="preserve">八、侧袋机制的实施和投资运作安排</w:t>
      </w:r>
      <w:r/>
    </w:p>
    <w:p>
      <w:pPr>
        <w:pStyle w:val="369"/>
        <w:ind w:firstLine="480"/>
        <w:snapToGrid w:val="1"/>
        <w:spacing w:lineRule="auto" w:line="360"/>
        <w:rPr>
          <w:rFonts w:ascii="宋体" w:hAnsi="宋体"/>
          <w:bCs/>
          <w:sz w:val="24"/>
        </w:rPr>
      </w:pPr>
      <w:r>
        <w:rPr>
          <w:rFonts w:ascii="宋体" w:hAnsi="宋体"/>
          <w:bCs/>
          <w:sz w:val="24"/>
        </w:rPr>
        <w:t xml:space="preserve">当集合计划持有特定资产且存在或潜在</w:t>
      </w:r>
      <w:r>
        <w:rPr>
          <w:rFonts w:ascii="宋体" w:hAnsi="宋体"/>
          <w:bCs/>
          <w:sz w:val="24"/>
        </w:rPr>
        <w:t xml:space="preserve">大额</w:t>
      </w:r>
      <w:r>
        <w:rPr>
          <w:rFonts w:ascii="宋体" w:hAnsi="宋体"/>
          <w:bCs/>
          <w:sz w:val="24"/>
        </w:rPr>
        <w:t xml:space="preserve">赎回申请时，根据最大限度保护集合计划份额持有人利益的原则，管理人经与托管人协商一致，并咨询会计师事务所意见后，可以依照法律法规及本合同的约定启用侧袋机制。</w:t>
      </w:r>
      <w:r/>
    </w:p>
    <w:p>
      <w:pPr>
        <w:pStyle w:val="369"/>
        <w:ind w:firstLine="480"/>
        <w:snapToGrid w:val="1"/>
        <w:spacing w:lineRule="auto" w:line="360"/>
        <w:rPr>
          <w:rFonts w:ascii="宋体" w:hAnsi="宋体"/>
          <w:bCs/>
          <w:sz w:val="24"/>
        </w:rPr>
      </w:pPr>
      <w:r>
        <w:rPr>
          <w:rFonts w:ascii="宋体" w:hAnsi="宋体"/>
          <w:bCs/>
          <w:sz w:val="24"/>
        </w:rPr>
        <w:t xml:space="preserve">侧袋机制实施期间，本部分约定的投资组合比例、投资策略、组合限制、业绩比较基准、风险收益特征等约定仅适用于主袋账户。</w:t>
      </w:r>
      <w:r/>
    </w:p>
    <w:p>
      <w:pPr>
        <w:pStyle w:val="369"/>
        <w:ind w:firstLine="480"/>
        <w:snapToGrid w:val="1"/>
        <w:spacing w:lineRule="auto" w:line="360"/>
        <w:rPr>
          <w:rFonts w:ascii="宋体" w:hAnsi="宋体"/>
          <w:bCs/>
          <w:sz w:val="24"/>
        </w:rPr>
      </w:pPr>
      <w:r>
        <w:rPr>
          <w:rFonts w:ascii="宋体" w:hAnsi="宋体"/>
          <w:bCs/>
          <w:sz w:val="24"/>
        </w:rPr>
        <w:t xml:space="preserve">侧袋账户的实施条件、实</w:t>
      </w:r>
      <w:r>
        <w:rPr>
          <w:rFonts w:ascii="宋体" w:hAnsi="宋体"/>
          <w:bCs/>
          <w:sz w:val="24"/>
        </w:rPr>
        <w:t xml:space="preserve">施程序、运作安排、投资安排、特定资产的处置变现和支付等对投资者权益有重大影响的事项详见招募说明书的规定</w:t>
      </w:r>
      <w:r>
        <w:rPr>
          <w:rFonts w:ascii="宋体" w:hAnsi="宋体"/>
          <w:bCs/>
          <w:sz w:val="24"/>
        </w:rPr>
        <w:t xml:space="preserve">。</w:t>
      </w:r>
      <w:r/>
    </w:p>
    <w:p>
      <w:pPr>
        <w:pStyle w:val="369"/>
        <w:snapToGrid w:val="1"/>
        <w:rPr>
          <w:rFonts w:ascii="宋体" w:hAnsi="宋体"/>
          <w:bCs/>
          <w:sz w:val="24"/>
        </w:rPr>
      </w:pPr>
      <w:r>
        <w:rPr>
          <w:rFonts w:ascii="宋体" w:hAnsi="宋体"/>
          <w:bCs/>
          <w:sz w:val="24"/>
        </w:rPr>
        <w:t xml:space="preserve">                                                             </w:t>
      </w:r>
      <w:r>
        <w:rPr>
          <w:rFonts w:ascii="宋体" w:hAnsi="宋体"/>
          <w:bCs/>
          <w:sz w:val="24"/>
        </w:rPr>
      </w:r>
      <w:r/>
    </w:p>
    <w:p>
      <w:pPr>
        <w:pStyle w:val="370"/>
        <w:jc w:val="center"/>
        <w:snapToGrid w:val="1"/>
        <w:spacing w:after="0" w:before="0"/>
        <w:rPr>
          <w:rFonts w:hAnsi="宋体"/>
          <w:color w:val="000000"/>
          <w:sz w:val="30"/>
        </w:rPr>
      </w:pPr>
      <w:r>
        <w:rPr>
          <w:rFonts w:hAnsi="宋体"/>
          <w:b w:val="false"/>
          <w:bCs/>
          <w:color w:val="000000"/>
          <w:sz w:val="21"/>
        </w:rPr>
        <w:br w:type="page"/>
      </w:r>
      <w:bookmarkStart w:id="273" w:name="_Toc93226145"/>
      <w:r/>
      <w:bookmarkStart w:id="274" w:name="_Toc92662704"/>
      <w:r/>
      <w:bookmarkStart w:id="275" w:name="_Toc29561"/>
      <w:r/>
      <w:bookmarkStart w:id="276" w:name="_Toc24474"/>
      <w:r/>
      <w:bookmarkStart w:id="277" w:name="_Toc141703893"/>
      <w:r/>
      <w:bookmarkStart w:id="278" w:name="_Toc139991743"/>
      <w:r/>
      <w:bookmarkStart w:id="279" w:name="_Toc128310496"/>
      <w:r/>
      <w:bookmarkStart w:id="280" w:name="_Toc18000"/>
      <w:r/>
      <w:bookmarkStart w:id="281" w:name="_Toc31611"/>
      <w:r/>
      <w:bookmarkStart w:id="282" w:name="_Toc32030"/>
      <w:r/>
      <w:bookmarkStart w:id="283" w:name="_Toc20102"/>
      <w:r/>
      <w:bookmarkStart w:id="284" w:name="_Toc26114"/>
      <w:r/>
      <w:bookmarkStart w:id="285" w:name="_Toc21642"/>
      <w:r/>
      <w:bookmarkStart w:id="286" w:name="_Toc3054"/>
      <w:r/>
      <w:bookmarkStart w:id="287" w:name="_Toc20782"/>
      <w:r/>
      <w:bookmarkStart w:id="288" w:name="_Toc58146344"/>
      <w:r>
        <w:rPr>
          <w:rFonts w:hAnsi="宋体"/>
          <w:color w:val="000000"/>
          <w:sz w:val="30"/>
        </w:rPr>
        <w:t xml:space="preserve">第十</w:t>
      </w:r>
      <w:r>
        <w:rPr>
          <w:rFonts w:hAnsi="宋体"/>
          <w:color w:val="000000"/>
          <w:sz w:val="30"/>
        </w:rPr>
        <w:t xml:space="preserve">三</w:t>
      </w:r>
      <w:r>
        <w:rPr>
          <w:rFonts w:hAnsi="宋体"/>
          <w:color w:val="000000"/>
          <w:sz w:val="30"/>
        </w:rPr>
        <w:t xml:space="preserve">部分  </w:t>
      </w:r>
      <w:r>
        <w:rPr>
          <w:rFonts w:hAnsi="宋体"/>
          <w:color w:val="000000"/>
          <w:sz w:val="30"/>
        </w:rPr>
        <w:t xml:space="preserve">集合计划</w:t>
      </w:r>
      <w:bookmarkEnd w:id="273"/>
      <w:r/>
      <w:bookmarkEnd w:id="274"/>
      <w:r>
        <w:rPr>
          <w:rFonts w:hAnsi="宋体"/>
          <w:color w:val="000000"/>
          <w:sz w:val="30"/>
        </w:rPr>
        <w:t xml:space="preserve">的财产</w:t>
      </w:r>
      <w:bookmarkEnd w:id="275"/>
      <w:r/>
      <w:bookmarkEnd w:id="276"/>
      <w:r/>
      <w:bookmarkEnd w:id="277"/>
      <w:r/>
      <w:bookmarkEnd w:id="278"/>
      <w:r/>
      <w:bookmarkEnd w:id="279"/>
      <w:r/>
      <w:bookmarkEnd w:id="280"/>
      <w:r/>
      <w:bookmarkEnd w:id="281"/>
      <w:r/>
      <w:bookmarkEnd w:id="282"/>
      <w:r/>
      <w:bookmarkEnd w:id="283"/>
      <w:r/>
      <w:bookmarkEnd w:id="284"/>
      <w:r/>
      <w:bookmarkEnd w:id="285"/>
      <w:r/>
      <w:bookmarkEnd w:id="286"/>
      <w:r/>
      <w:bookmarkEnd w:id="287"/>
      <w:r/>
      <w:bookmarkEnd w:id="288"/>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w:t>
      </w:r>
      <w:r>
        <w:rPr>
          <w:rFonts w:ascii="宋体" w:hAnsi="宋体"/>
          <w:bCs/>
          <w:sz w:val="24"/>
        </w:rPr>
        <w:t xml:space="preserve">集合计划</w:t>
      </w:r>
      <w:r>
        <w:rPr>
          <w:rFonts w:ascii="宋体" w:hAnsi="宋体"/>
          <w:bCs/>
          <w:sz w:val="24"/>
        </w:rPr>
        <w:t xml:space="preserve">资产总值</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资产总值是指购买的各类证券及票据价值、银行存款本息和</w:t>
      </w:r>
      <w:r>
        <w:rPr>
          <w:rFonts w:ascii="宋体" w:hAnsi="宋体"/>
          <w:bCs/>
          <w:sz w:val="24"/>
        </w:rPr>
        <w:t xml:space="preserve">集合计划</w:t>
      </w:r>
      <w:r>
        <w:rPr>
          <w:rFonts w:ascii="宋体" w:hAnsi="宋体"/>
          <w:bCs/>
          <w:sz w:val="24"/>
        </w:rPr>
        <w:t xml:space="preserve">应收的申购款以及其他投资所形成的价值总和。</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二、集合计划资产净值</w:t>
      </w:r>
      <w:r/>
    </w:p>
    <w:p>
      <w:pPr>
        <w:pStyle w:val="369"/>
        <w:ind w:firstLine="480"/>
        <w:snapToGrid w:val="1"/>
        <w:spacing w:lineRule="auto" w:line="360"/>
        <w:rPr>
          <w:rFonts w:ascii="宋体" w:hAnsi="宋体"/>
          <w:bCs/>
          <w:sz w:val="24"/>
        </w:rPr>
      </w:pPr>
      <w:r>
        <w:rPr>
          <w:rFonts w:ascii="宋体" w:hAnsi="宋体"/>
          <w:bCs/>
          <w:sz w:val="24"/>
        </w:rPr>
        <w:t xml:space="preserve">集合计划资产净值是指</w:t>
      </w:r>
      <w:r>
        <w:rPr>
          <w:rFonts w:ascii="宋体" w:hAnsi="宋体"/>
          <w:bCs/>
          <w:sz w:val="24"/>
        </w:rPr>
        <w:t xml:space="preserve">集合计划</w:t>
      </w:r>
      <w:r>
        <w:rPr>
          <w:rFonts w:ascii="宋体" w:hAnsi="宋体"/>
          <w:bCs/>
          <w:sz w:val="24"/>
        </w:rPr>
        <w:t xml:space="preserve">资产总值减去</w:t>
      </w:r>
      <w:r>
        <w:rPr>
          <w:rFonts w:ascii="宋体" w:hAnsi="宋体"/>
          <w:bCs/>
          <w:sz w:val="24"/>
        </w:rPr>
        <w:t xml:space="preserve">集合计划</w:t>
      </w:r>
      <w:r>
        <w:rPr>
          <w:rFonts w:ascii="宋体" w:hAnsi="宋体"/>
          <w:bCs/>
          <w:sz w:val="24"/>
        </w:rPr>
        <w:t xml:space="preserve">负债后的价值。</w:t>
      </w:r>
      <w:r/>
    </w:p>
    <w:p>
      <w:pPr>
        <w:pStyle w:val="369"/>
        <w:ind w:firstLine="480"/>
        <w:snapToGrid w:val="1"/>
        <w:spacing w:lineRule="auto" w:line="360"/>
        <w:rPr>
          <w:rFonts w:ascii="宋体" w:hAnsi="宋体"/>
          <w:bCs/>
          <w:sz w:val="24"/>
        </w:rPr>
      </w:pPr>
      <w:r>
        <w:rPr>
          <w:rFonts w:ascii="宋体" w:hAnsi="宋体"/>
          <w:bCs/>
          <w:sz w:val="24"/>
        </w:rPr>
        <w:t xml:space="preserve">三、</w:t>
      </w:r>
      <w:r>
        <w:rPr>
          <w:rFonts w:ascii="宋体" w:hAnsi="宋体"/>
          <w:bCs/>
          <w:sz w:val="24"/>
        </w:rPr>
        <w:t xml:space="preserve">集合计划</w:t>
      </w:r>
      <w:r>
        <w:rPr>
          <w:rFonts w:ascii="宋体" w:hAnsi="宋体"/>
          <w:bCs/>
          <w:sz w:val="24"/>
        </w:rPr>
        <w:t xml:space="preserve">财产的账户</w:t>
      </w:r>
      <w:r/>
    </w:p>
    <w:p>
      <w:pPr>
        <w:pStyle w:val="369"/>
        <w:ind w:firstLine="480"/>
        <w:snapToGrid w:val="1"/>
        <w:spacing w:lineRule="auto" w:line="360"/>
        <w:rPr>
          <w:rFonts w:ascii="宋体" w:hAnsi="宋体"/>
        </w:rPr>
      </w:pPr>
      <w:r>
        <w:rPr>
          <w:rFonts w:ascii="宋体" w:hAnsi="宋体"/>
          <w:bCs/>
          <w:sz w:val="24"/>
        </w:rPr>
        <w:t xml:space="preserve">托管</w:t>
      </w:r>
      <w:r>
        <w:rPr>
          <w:rFonts w:ascii="宋体" w:hAnsi="宋体"/>
          <w:bCs/>
          <w:sz w:val="24"/>
        </w:rPr>
        <w:t xml:space="preserve">人根据相关法律法规、规范性文件为本集合计划开立资金</w:t>
      </w:r>
      <w:r>
        <w:rPr>
          <w:rFonts w:ascii="宋体" w:hAnsi="宋体"/>
          <w:bCs/>
          <w:sz w:val="24"/>
        </w:rPr>
        <w:t xml:space="preserve">账户</w:t>
      </w:r>
      <w:r>
        <w:rPr>
          <w:rFonts w:ascii="宋体" w:hAnsi="宋体"/>
          <w:bCs/>
          <w:sz w:val="24"/>
        </w:rPr>
        <w:t xml:space="preserve">、证券</w:t>
      </w:r>
      <w:r>
        <w:rPr>
          <w:rFonts w:ascii="宋体" w:hAnsi="宋体"/>
          <w:bCs/>
          <w:sz w:val="24"/>
        </w:rPr>
        <w:t xml:space="preserve">账户</w:t>
      </w:r>
      <w:r>
        <w:rPr>
          <w:rFonts w:ascii="宋体" w:hAnsi="宋体"/>
          <w:bCs/>
          <w:sz w:val="24"/>
        </w:rPr>
        <w:t xml:space="preserve">以及投资所需的其他专用</w:t>
      </w:r>
      <w:r>
        <w:rPr>
          <w:rFonts w:ascii="宋体" w:hAnsi="宋体"/>
          <w:bCs/>
          <w:sz w:val="24"/>
        </w:rPr>
        <w:t xml:space="preserve">账户</w:t>
      </w:r>
      <w:r>
        <w:rPr>
          <w:rFonts w:ascii="宋体" w:hAnsi="宋体"/>
          <w:bCs/>
          <w:sz w:val="24"/>
        </w:rPr>
        <w:t xml:space="preserve">。开立的</w:t>
      </w:r>
      <w:r>
        <w:rPr>
          <w:rFonts w:ascii="宋体" w:hAnsi="宋体"/>
          <w:bCs/>
          <w:sz w:val="24"/>
        </w:rPr>
        <w:t xml:space="preserve">集合计划</w:t>
      </w:r>
      <w:r>
        <w:rPr>
          <w:rFonts w:ascii="宋体" w:hAnsi="宋体"/>
          <w:bCs/>
          <w:sz w:val="24"/>
        </w:rPr>
        <w:t xml:space="preserve">专用账户与管理人、托管人、集合计划销售机构和集合计划登记机构自有的财产账户以及其他</w:t>
      </w:r>
      <w:r>
        <w:rPr>
          <w:rFonts w:ascii="宋体" w:hAnsi="宋体"/>
          <w:bCs/>
          <w:sz w:val="24"/>
        </w:rPr>
        <w:t xml:space="preserve">集合计划</w:t>
      </w:r>
      <w:r>
        <w:rPr>
          <w:rFonts w:ascii="宋体" w:hAnsi="宋体"/>
          <w:bCs/>
          <w:sz w:val="24"/>
        </w:rPr>
        <w:t xml:space="preserve">财产账户相独立。</w:t>
      </w:r>
      <w:bookmarkStart w:id="289" w:name="_Hlt88841837"/>
      <w:r/>
      <w:bookmarkEnd w:id="289"/>
      <w:r>
        <w:rPr>
          <w:rFonts w:ascii="宋体" w:hAnsi="宋体"/>
        </w:rPr>
      </w:r>
      <w:r/>
    </w:p>
    <w:p>
      <w:pPr>
        <w:pStyle w:val="369"/>
        <w:ind w:firstLine="480"/>
        <w:snapToGrid w:val="1"/>
        <w:spacing w:lineRule="auto" w:line="360"/>
        <w:rPr>
          <w:rFonts w:ascii="宋体" w:hAnsi="宋体"/>
          <w:bCs/>
          <w:sz w:val="24"/>
        </w:rPr>
      </w:pPr>
      <w:r>
        <w:rPr>
          <w:rFonts w:ascii="宋体" w:hAnsi="宋体"/>
          <w:bCs/>
          <w:sz w:val="24"/>
        </w:rPr>
        <w:t xml:space="preserve">四、</w:t>
      </w:r>
      <w:r>
        <w:rPr>
          <w:rFonts w:ascii="宋体" w:hAnsi="宋体"/>
          <w:bCs/>
          <w:sz w:val="24"/>
        </w:rPr>
        <w:t xml:space="preserve">集合计划</w:t>
      </w:r>
      <w:r>
        <w:rPr>
          <w:rFonts w:ascii="宋体" w:hAnsi="宋体"/>
          <w:bCs/>
          <w:sz w:val="24"/>
        </w:rPr>
        <w:t xml:space="preserve">财产的保管和处分</w:t>
      </w:r>
      <w:bookmarkStart w:id="290" w:name="_Hlt88900062"/>
      <w:r/>
      <w:bookmarkEnd w:id="290"/>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财产独立于管理人、托管人和集合计划销售机构的财产，并由托管人保管。管理人、托管人、集合计划登记机构和集合计划销售机构以其自有的财产承担其自身的法律责任，其债权人不得对本集合计划财产行使请求冻结、扣押或其他权利。除依法律法规和《集合计划合同》的规定处分外，</w:t>
      </w:r>
      <w:r>
        <w:rPr>
          <w:rFonts w:ascii="宋体" w:hAnsi="宋体"/>
          <w:bCs/>
          <w:sz w:val="24"/>
        </w:rPr>
        <w:t xml:space="preserve">集合</w:t>
      </w:r>
      <w:r>
        <w:rPr>
          <w:rFonts w:ascii="宋体" w:hAnsi="宋体"/>
          <w:bCs/>
          <w:sz w:val="24"/>
        </w:rPr>
        <w:t xml:space="preserve">计划</w:t>
      </w:r>
      <w:r>
        <w:rPr>
          <w:rFonts w:ascii="宋体" w:hAnsi="宋体"/>
          <w:bCs/>
          <w:sz w:val="24"/>
        </w:rPr>
        <w:t xml:space="preserve">财产不得被处分。</w:t>
      </w:r>
      <w:r/>
    </w:p>
    <w:p>
      <w:pPr>
        <w:pStyle w:val="369"/>
        <w:ind w:firstLine="480"/>
        <w:snapToGrid w:val="1"/>
        <w:spacing w:lineRule="auto" w:line="360"/>
        <w:rPr>
          <w:rFonts w:ascii="宋体" w:hAnsi="宋体"/>
          <w:bCs/>
          <w:sz w:val="24"/>
        </w:rPr>
      </w:pPr>
      <w:r>
        <w:rPr>
          <w:rFonts w:ascii="宋体" w:hAnsi="宋体"/>
          <w:bCs/>
          <w:sz w:val="24"/>
        </w:rPr>
        <w:t xml:space="preserve">管理人、托管人因依法解散、被依法撤销或者被依法宣告破产等原因进行清算的，</w:t>
      </w:r>
      <w:r>
        <w:rPr>
          <w:rFonts w:ascii="宋体" w:hAnsi="宋体"/>
          <w:bCs/>
          <w:sz w:val="24"/>
        </w:rPr>
        <w:t xml:space="preserve">集合计划</w:t>
      </w:r>
      <w:r>
        <w:rPr>
          <w:rFonts w:ascii="宋体" w:hAnsi="宋体"/>
          <w:bCs/>
          <w:sz w:val="24"/>
        </w:rPr>
        <w:t xml:space="preserve">财产不属于其清算财产。管理人管理运作</w:t>
      </w:r>
      <w:r>
        <w:rPr>
          <w:rFonts w:ascii="宋体" w:hAnsi="宋体"/>
          <w:bCs/>
          <w:sz w:val="24"/>
        </w:rPr>
        <w:t xml:space="preserve">集合计划</w:t>
      </w:r>
      <w:r>
        <w:rPr>
          <w:rFonts w:ascii="宋体" w:hAnsi="宋体"/>
          <w:bCs/>
          <w:sz w:val="24"/>
        </w:rPr>
        <w:t xml:space="preserve">财产所产生的债权，不得与其固有资产产生的债务相互抵销；管理人管理运作不同</w:t>
      </w:r>
      <w:r>
        <w:rPr>
          <w:rFonts w:ascii="宋体" w:hAnsi="宋体"/>
          <w:bCs/>
          <w:sz w:val="24"/>
        </w:rPr>
        <w:t xml:space="preserve">集合计划</w:t>
      </w:r>
      <w:r>
        <w:rPr>
          <w:rFonts w:ascii="宋体" w:hAnsi="宋体"/>
          <w:bCs/>
          <w:sz w:val="24"/>
        </w:rPr>
        <w:t xml:space="preserve">的</w:t>
      </w:r>
      <w:r>
        <w:rPr>
          <w:rFonts w:ascii="宋体" w:hAnsi="宋体"/>
          <w:bCs/>
          <w:sz w:val="24"/>
        </w:rPr>
        <w:t xml:space="preserve">集合计划</w:t>
      </w:r>
      <w:r>
        <w:rPr>
          <w:rFonts w:ascii="宋体" w:hAnsi="宋体"/>
          <w:bCs/>
          <w:sz w:val="24"/>
        </w:rPr>
        <w:t xml:space="preserve">财产所产生的债权债务不得相互抵销。非因</w:t>
      </w:r>
      <w:r>
        <w:rPr>
          <w:rFonts w:ascii="宋体" w:hAnsi="宋体"/>
          <w:bCs/>
          <w:sz w:val="24"/>
        </w:rPr>
        <w:t xml:space="preserve">集合计划</w:t>
      </w:r>
      <w:r>
        <w:rPr>
          <w:rFonts w:ascii="宋体" w:hAnsi="宋体"/>
          <w:bCs/>
          <w:sz w:val="24"/>
        </w:rPr>
        <w:t xml:space="preserve">财产本身承担的债务，不得对</w:t>
      </w:r>
      <w:r>
        <w:rPr>
          <w:rFonts w:ascii="宋体" w:hAnsi="宋体"/>
          <w:bCs/>
          <w:sz w:val="24"/>
        </w:rPr>
        <w:t xml:space="preserve">集合计划</w:t>
      </w:r>
      <w:r>
        <w:rPr>
          <w:rFonts w:ascii="宋体" w:hAnsi="宋体"/>
          <w:bCs/>
          <w:sz w:val="24"/>
        </w:rPr>
        <w:t xml:space="preserve">财产强制执行。</w:t>
      </w:r>
      <w:r/>
    </w:p>
    <w:p>
      <w:pPr>
        <w:pStyle w:val="369"/>
        <w:ind w:firstLine="480"/>
        <w:snapToGrid w:val="1"/>
        <w:spacing w:lineRule="auto" w:line="360"/>
        <w:rPr>
          <w:rFonts w:ascii="宋体" w:hAnsi="宋体"/>
          <w:bCs/>
          <w:sz w:val="24"/>
        </w:rPr>
      </w:pPr>
      <w:r>
        <w:rPr>
          <w:rFonts w:ascii="宋体" w:hAnsi="宋体"/>
          <w:bCs/>
          <w:sz w:val="24"/>
        </w:rPr>
      </w:r>
      <w:r/>
    </w:p>
    <w:p>
      <w:pPr>
        <w:pStyle w:val="370"/>
        <w:jc w:val="center"/>
        <w:snapToGrid w:val="1"/>
        <w:spacing w:after="0" w:before="0"/>
        <w:rPr>
          <w:rFonts w:hAnsi="宋体"/>
          <w:color w:val="000000"/>
          <w:sz w:val="30"/>
        </w:rPr>
      </w:pPr>
      <w:r>
        <w:rPr>
          <w:rFonts w:hAnsi="宋体"/>
          <w:b w:val="false"/>
          <w:bCs/>
          <w:color w:val="000000"/>
          <w:sz w:val="21"/>
        </w:rPr>
        <w:br w:type="page"/>
      </w:r>
      <w:bookmarkStart w:id="291" w:name="_Toc17782"/>
      <w:r/>
      <w:bookmarkStart w:id="292" w:name="_Toc7802"/>
      <w:r/>
      <w:bookmarkStart w:id="293" w:name="_Toc19714"/>
      <w:r/>
      <w:bookmarkStart w:id="294" w:name="_Toc31917"/>
      <w:r/>
      <w:bookmarkStart w:id="295" w:name="_Toc27832"/>
      <w:r/>
      <w:bookmarkStart w:id="296" w:name="_Toc871"/>
      <w:r/>
      <w:bookmarkStart w:id="297" w:name="_Toc58146345"/>
      <w:r/>
      <w:bookmarkStart w:id="298" w:name="_Toc139991744"/>
      <w:r/>
      <w:bookmarkStart w:id="299" w:name="_Toc141703894"/>
      <w:r>
        <w:rPr>
          <w:rFonts w:hAnsi="宋体"/>
          <w:color w:val="000000"/>
          <w:sz w:val="30"/>
        </w:rPr>
        <w:t xml:space="preserve">第十</w:t>
      </w:r>
      <w:r>
        <w:rPr>
          <w:rFonts w:hAnsi="宋体"/>
          <w:color w:val="000000"/>
          <w:sz w:val="30"/>
        </w:rPr>
        <w:t xml:space="preserve">四</w:t>
      </w:r>
      <w:r>
        <w:rPr>
          <w:rFonts w:hAnsi="宋体"/>
          <w:color w:val="000000"/>
          <w:sz w:val="30"/>
        </w:rPr>
        <w:t xml:space="preserve">部分  </w:t>
      </w:r>
      <w:r>
        <w:rPr>
          <w:rFonts w:hAnsi="宋体"/>
          <w:color w:val="000000"/>
          <w:sz w:val="30"/>
        </w:rPr>
        <w:t xml:space="preserve">集合计划</w:t>
      </w:r>
      <w:r>
        <w:rPr>
          <w:rFonts w:hAnsi="宋体"/>
          <w:color w:val="000000"/>
          <w:sz w:val="30"/>
        </w:rPr>
        <w:t xml:space="preserve">资产估值</w:t>
      </w:r>
      <w:bookmarkEnd w:id="291"/>
      <w:r/>
      <w:bookmarkEnd w:id="292"/>
      <w:r/>
      <w:bookmarkEnd w:id="293"/>
      <w:r/>
      <w:bookmarkEnd w:id="294"/>
      <w:r/>
      <w:bookmarkEnd w:id="295"/>
      <w:r/>
      <w:bookmarkEnd w:id="296"/>
      <w:r/>
      <w:bookmarkEnd w:id="297"/>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bookmarkEnd w:id="298"/>
      <w:r/>
      <w:bookmarkEnd w:id="299"/>
      <w:r/>
      <w:bookmarkStart w:id="300" w:name="_Toc141703895"/>
      <w:r/>
      <w:bookmarkStart w:id="301" w:name="_Toc139991745"/>
      <w:r/>
      <w:bookmarkStart w:id="302" w:name="_Toc32046"/>
      <w:r>
        <w:rPr>
          <w:rFonts w:ascii="宋体" w:hAnsi="宋体"/>
          <w:bCs/>
          <w:sz w:val="24"/>
        </w:rPr>
        <w:t xml:space="preserve">一、估值日</w:t>
      </w:r>
      <w:r/>
    </w:p>
    <w:p>
      <w:pPr>
        <w:pStyle w:val="369"/>
        <w:ind w:firstLine="480"/>
        <w:snapToGrid w:val="1"/>
        <w:spacing w:lineRule="auto" w:line="360"/>
        <w:rPr>
          <w:rFonts w:ascii="宋体" w:hAnsi="宋体"/>
          <w:bCs/>
          <w:sz w:val="24"/>
        </w:rPr>
      </w:pPr>
      <w:r>
        <w:rPr>
          <w:rFonts w:ascii="宋体" w:hAnsi="宋体"/>
          <w:bCs/>
          <w:sz w:val="24"/>
        </w:rPr>
        <w:t xml:space="preserve">本集合计划的估值日为本集合计划相关的证券交易场所的交易日以及国家法律法规规定需要对外披露</w:t>
      </w:r>
      <w:r>
        <w:rPr>
          <w:rFonts w:ascii="宋体" w:hAnsi="宋体"/>
          <w:bCs/>
          <w:sz w:val="24"/>
        </w:rPr>
        <w:t xml:space="preserve">集合计划</w:t>
      </w:r>
      <w:r>
        <w:rPr>
          <w:rFonts w:ascii="宋体" w:hAnsi="宋体"/>
          <w:bCs/>
          <w:sz w:val="24"/>
        </w:rPr>
        <w:t xml:space="preserve">净值的非交易日。</w:t>
      </w:r>
      <w:r/>
    </w:p>
    <w:p>
      <w:pPr>
        <w:pStyle w:val="369"/>
        <w:ind w:firstLine="480"/>
        <w:snapToGrid w:val="1"/>
        <w:spacing w:lineRule="auto" w:line="360"/>
        <w:rPr>
          <w:rFonts w:ascii="宋体" w:hAnsi="宋体"/>
          <w:bCs/>
          <w:sz w:val="24"/>
        </w:rPr>
      </w:pPr>
      <w:r>
        <w:rPr>
          <w:rFonts w:ascii="宋体" w:hAnsi="宋体"/>
          <w:bCs/>
          <w:sz w:val="24"/>
        </w:rPr>
        <w:t xml:space="preserve">二、估值对象</w:t>
      </w:r>
      <w:r/>
    </w:p>
    <w:p>
      <w:pPr>
        <w:pStyle w:val="369"/>
        <w:ind w:firstLine="480"/>
        <w:snapToGrid w:val="1"/>
        <w:spacing w:lineRule="auto" w:line="360"/>
        <w:rPr>
          <w:rFonts w:ascii="宋体" w:hAnsi="宋体"/>
          <w:bCs/>
          <w:sz w:val="24"/>
        </w:rPr>
      </w:pPr>
      <w:r>
        <w:rPr>
          <w:rFonts w:ascii="宋体" w:hAnsi="宋体"/>
          <w:bCs/>
          <w:sz w:val="24"/>
        </w:rPr>
        <w:t xml:space="preserve">集</w:t>
      </w:r>
      <w:r>
        <w:rPr>
          <w:rFonts w:ascii="宋体" w:hAnsi="宋体"/>
          <w:bCs/>
          <w:sz w:val="24"/>
        </w:rPr>
        <w:t xml:space="preserve">合计划</w:t>
      </w:r>
      <w:r>
        <w:rPr>
          <w:rFonts w:ascii="宋体" w:hAnsi="宋体"/>
          <w:bCs/>
          <w:sz w:val="24"/>
        </w:rPr>
        <w:t xml:space="preserve">所拥有的股票、债券</w:t>
      </w:r>
      <w:r>
        <w:rPr>
          <w:rFonts w:ascii="宋体" w:hAnsi="宋体"/>
          <w:bCs/>
          <w:sz w:val="24"/>
        </w:rPr>
        <w:t xml:space="preserve">、股指期货合约、国债期货合约</w:t>
      </w:r>
      <w:r>
        <w:rPr>
          <w:rFonts w:ascii="宋体" w:hAnsi="宋体"/>
          <w:bCs/>
          <w:sz w:val="24"/>
        </w:rPr>
        <w:t xml:space="preserve">、</w:t>
      </w:r>
      <w:r>
        <w:rPr>
          <w:rFonts w:ascii="宋体" w:hAnsi="宋体"/>
          <w:bCs/>
          <w:sz w:val="24"/>
        </w:rPr>
        <w:t xml:space="preserve">资产支持证券</w:t>
      </w:r>
      <w:r>
        <w:rPr>
          <w:rFonts w:ascii="宋体" w:hAnsi="宋体"/>
          <w:bCs/>
          <w:sz w:val="24"/>
        </w:rPr>
        <w:t xml:space="preserve">和银行存款本息、应收款项、其它投资等资产及负债。</w:t>
      </w:r>
      <w:r/>
    </w:p>
    <w:p>
      <w:pPr>
        <w:pStyle w:val="369"/>
        <w:ind w:left="480"/>
        <w:snapToGrid w:val="1"/>
        <w:spacing w:lineRule="auto" w:line="360"/>
        <w:rPr>
          <w:rFonts w:ascii="宋体" w:hAnsi="宋体"/>
          <w:bCs/>
          <w:sz w:val="24"/>
        </w:rPr>
      </w:pPr>
      <w:r>
        <w:rPr>
          <w:rFonts w:ascii="宋体" w:hAnsi="宋体"/>
          <w:bCs/>
          <w:sz w:val="24"/>
        </w:rPr>
        <w:t xml:space="preserve">三</w:t>
      </w:r>
      <w:r>
        <w:rPr>
          <w:rFonts w:ascii="宋体" w:hAnsi="宋体"/>
          <w:bCs/>
          <w:sz w:val="24"/>
        </w:rPr>
        <w:t xml:space="preserve">、估值原则</w:t>
      </w:r>
      <w:r/>
    </w:p>
    <w:p>
      <w:pPr>
        <w:pStyle w:val="369"/>
        <w:ind w:firstLine="480"/>
        <w:snapToGrid w:val="1"/>
        <w:spacing w:lineRule="auto" w:line="360"/>
        <w:rPr>
          <w:rFonts w:ascii="宋体" w:hAnsi="宋体"/>
          <w:bCs/>
          <w:sz w:val="24"/>
          <w:szCs w:val="24"/>
        </w:rPr>
      </w:pPr>
      <w:r>
        <w:rPr>
          <w:rFonts w:ascii="宋体" w:hAnsi="宋体"/>
          <w:bCs/>
          <w:sz w:val="24"/>
          <w:szCs w:val="24"/>
        </w:rPr>
        <w:t xml:space="preserve">管理人在确定相关金融资产和金融负债的公允价值时，应符合《企业会计准则》、监管部门有关规定。</w:t>
      </w:r>
      <w:r/>
    </w:p>
    <w:p>
      <w:pPr>
        <w:pStyle w:val="369"/>
        <w:ind w:firstLine="480"/>
        <w:snapToGrid w:val="1"/>
        <w:spacing w:lineRule="auto" w:line="360"/>
        <w:rPr>
          <w:rFonts w:ascii="宋体" w:hAnsi="宋体"/>
          <w:bCs/>
          <w:sz w:val="24"/>
          <w:szCs w:val="24"/>
        </w:rPr>
      </w:pPr>
      <w:r>
        <w:rPr>
          <w:rFonts w:ascii="宋体" w:hAnsi="宋体"/>
          <w:bCs/>
          <w:sz w:val="24"/>
          <w:szCs w:val="24"/>
        </w:rPr>
        <w:t xml:space="preserve">（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w:t>
      </w:r>
      <w:r>
        <w:rPr>
          <w:rFonts w:ascii="宋体" w:hAnsi="宋体"/>
          <w:bCs/>
          <w:sz w:val="24"/>
          <w:szCs w:val="24"/>
        </w:rPr>
        <w:t xml:space="preserve">的报价不能真实反映公允价值的，应对报价进行调整，确定公允价值。</w:t>
      </w:r>
      <w:r/>
    </w:p>
    <w:p>
      <w:pPr>
        <w:pStyle w:val="369"/>
        <w:ind w:firstLine="480"/>
        <w:snapToGrid w:val="1"/>
        <w:spacing w:lineRule="auto" w:line="360"/>
        <w:rPr>
          <w:rFonts w:ascii="宋体" w:hAnsi="宋体"/>
          <w:bCs/>
          <w:sz w:val="24"/>
          <w:szCs w:val="24"/>
        </w:rPr>
      </w:pPr>
      <w:r>
        <w:rPr>
          <w:rFonts w:ascii="宋体" w:hAnsi="宋体"/>
          <w:bCs/>
          <w:sz w:val="24"/>
          <w:szCs w:val="24"/>
        </w:rPr>
        <w:t xml:space="preserve">与上述投资品种</w:t>
      </w:r>
      <w:r>
        <w:rPr>
          <w:rFonts w:ascii="宋体" w:hAnsi="宋体"/>
          <w:bCs/>
          <w:sz w:val="24"/>
          <w:szCs w:val="24"/>
        </w:rPr>
        <w:t xml:space="preserve">相</w:t>
      </w:r>
      <w:r>
        <w:rPr>
          <w:rFonts w:ascii="宋体" w:hAnsi="宋体"/>
          <w:bCs/>
          <w:sz w:val="24"/>
          <w:szCs w:val="24"/>
        </w:rPr>
        <w:t xml:space="preserve">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管理人不应考虑因其大量持有相关资产或负债所产生的溢价或折价。</w:t>
      </w:r>
      <w:r/>
    </w:p>
    <w:p>
      <w:pPr>
        <w:pStyle w:val="369"/>
        <w:ind w:firstLine="480"/>
        <w:snapToGrid w:val="1"/>
        <w:spacing w:lineRule="auto" w:line="360"/>
        <w:rPr>
          <w:rFonts w:ascii="宋体" w:hAnsi="宋体"/>
          <w:bCs/>
          <w:sz w:val="24"/>
          <w:szCs w:val="24"/>
        </w:rPr>
      </w:pPr>
      <w:r>
        <w:rPr>
          <w:rFonts w:ascii="宋体" w:hAnsi="宋体"/>
          <w:bCs/>
          <w:sz w:val="24"/>
          <w:szCs w:val="24"/>
        </w:rPr>
        <w:t xml:space="preserve">（二）对不存在活跃市场的投资品种，应采用在当前情况下适用并且有足够可利用数据和其他信息支持的估值技术确定公允价值。采用估值技术确定公允价值时，应优先使用可观察输入</w:t>
      </w:r>
      <w:r>
        <w:rPr>
          <w:rFonts w:ascii="宋体" w:hAnsi="宋体"/>
          <w:bCs/>
          <w:sz w:val="24"/>
          <w:szCs w:val="24"/>
        </w:rPr>
        <w:t xml:space="preserve">值，只有在无法取得相关资产或负债可观察输入值或取得不切实可行的情况下，才可以使用不可观察输入值。</w:t>
      </w:r>
      <w:r/>
    </w:p>
    <w:p>
      <w:pPr>
        <w:pStyle w:val="369"/>
        <w:ind w:firstLine="480"/>
        <w:snapToGrid w:val="1"/>
        <w:spacing w:lineRule="auto" w:line="360"/>
        <w:rPr>
          <w:rFonts w:ascii="宋体" w:hAnsi="宋体"/>
          <w:bCs/>
          <w:sz w:val="24"/>
        </w:rPr>
      </w:pPr>
      <w:r>
        <w:rPr>
          <w:rFonts w:ascii="宋体" w:hAnsi="宋体"/>
          <w:bCs/>
          <w:sz w:val="24"/>
          <w:szCs w:val="24"/>
        </w:rPr>
        <w:t xml:space="preserve">（三）如经济环境发生重大变化或证券发行人发生影响证券价格的重大事件，使潜在估值调整对前一估值日的集合计划资产净值的影响在0.25%以上的，应对估值进行调整并确定公允价值。</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四</w:t>
      </w:r>
      <w:r>
        <w:rPr>
          <w:rFonts w:ascii="宋体" w:hAnsi="宋体"/>
          <w:bCs/>
          <w:sz w:val="24"/>
        </w:rPr>
        <w:t xml:space="preserve">、估值方法</w:t>
      </w:r>
      <w:r/>
    </w:p>
    <w:p>
      <w:pPr>
        <w:pStyle w:val="369"/>
        <w:ind w:firstLine="480"/>
        <w:snapToGrid w:val="1"/>
        <w:spacing w:lineRule="auto" w:line="360"/>
        <w:rPr>
          <w:rFonts w:ascii="宋体" w:hAnsi="宋体"/>
          <w:bCs/>
          <w:sz w:val="24"/>
        </w:rPr>
      </w:pPr>
      <w:r>
        <w:rPr>
          <w:rFonts w:ascii="宋体" w:hAnsi="宋体"/>
          <w:bCs/>
          <w:sz w:val="24"/>
        </w:rPr>
        <w:t xml:space="preserve">1、证券交易所上市的有价证券的估值</w:t>
      </w:r>
      <w:r/>
    </w:p>
    <w:p>
      <w:pPr>
        <w:pStyle w:val="369"/>
        <w:ind w:firstLine="480"/>
        <w:snapToGrid w:val="1"/>
        <w:spacing w:lineRule="auto" w:line="360"/>
        <w:rPr>
          <w:rFonts w:ascii="宋体" w:hAnsi="宋体"/>
          <w:bCs/>
          <w:sz w:val="24"/>
        </w:rPr>
      </w:pPr>
      <w:r>
        <w:rPr>
          <w:rFonts w:ascii="宋体" w:hAnsi="宋体"/>
          <w:bCs/>
          <w:sz w:val="24"/>
        </w:rPr>
        <w:t xml:space="preserve">（1）交易所上市的有价证券（包括股票），以其估值日在证券交易所挂牌的市价（收盘价）估值；估值日无交易的，且最近交易日后经济环境未发生重大变化</w:t>
      </w:r>
      <w:r>
        <w:rPr>
          <w:rFonts w:ascii="宋体" w:hAnsi="宋体"/>
          <w:bCs/>
          <w:sz w:val="24"/>
        </w:rPr>
        <w:t xml:space="preserve">或</w:t>
      </w:r>
      <w:r>
        <w:rPr>
          <w:rFonts w:ascii="宋体" w:hAnsi="宋体"/>
          <w:bCs/>
          <w:sz w:val="24"/>
        </w:rPr>
        <w:t xml:space="preserve">证券发行机构未发生影响证券价格的重大事件的，以最近</w:t>
      </w:r>
      <w:r>
        <w:rPr>
          <w:rFonts w:ascii="宋体" w:hAnsi="宋体"/>
          <w:bCs/>
          <w:sz w:val="24"/>
        </w:rPr>
        <w:t xml:space="preserve">交易日的市价（收盘价）估值；如最近交易日后经济环境发生了重大变化</w:t>
      </w:r>
      <w:r>
        <w:rPr>
          <w:rFonts w:ascii="宋体" w:hAnsi="宋体"/>
          <w:bCs/>
          <w:sz w:val="24"/>
        </w:rPr>
        <w:t xml:space="preserve">或</w:t>
      </w:r>
      <w:r>
        <w:rPr>
          <w:rFonts w:ascii="宋体" w:hAnsi="宋体"/>
          <w:bCs/>
          <w:sz w:val="24"/>
        </w:rPr>
        <w:t xml:space="preserve">证券发行机构发生影响证券价格的重大事件的，可参考类似投资品种的现行市价及重大变化因素，调整最近交易市价，确定公允价格</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（2）交易所上市交易或挂牌转让的不含权固定收益品种，选取估值日第三方估值机构提供的相应品种当日的估值净价进行估值；</w:t>
      </w:r>
      <w:r/>
    </w:p>
    <w:p>
      <w:pPr>
        <w:pStyle w:val="369"/>
        <w:ind w:firstLine="480"/>
        <w:snapToGrid w:val="1"/>
        <w:spacing w:lineRule="auto" w:line="360"/>
        <w:rPr>
          <w:rFonts w:ascii="宋体" w:hAnsi="宋体"/>
          <w:bCs/>
          <w:sz w:val="24"/>
        </w:rPr>
      </w:pPr>
      <w:r>
        <w:rPr>
          <w:rFonts w:ascii="宋体" w:hAnsi="宋体"/>
          <w:bCs/>
          <w:sz w:val="24"/>
        </w:rPr>
        <w:t xml:space="preserve">（3）交易所上市交易或挂牌转让的含权固定收益品种，选取估值日第三方估值机构提供的相应品种当日的唯一估值净价或推荐估值净价进行估值；</w:t>
      </w:r>
      <w:r/>
    </w:p>
    <w:p>
      <w:pPr>
        <w:pStyle w:val="369"/>
        <w:ind w:firstLine="480"/>
        <w:snapToGrid w:val="1"/>
        <w:spacing w:lineRule="auto" w:line="360"/>
        <w:rPr>
          <w:rFonts w:ascii="宋体" w:hAnsi="宋体"/>
          <w:bCs/>
          <w:sz w:val="24"/>
        </w:rPr>
      </w:pPr>
      <w:r>
        <w:rPr>
          <w:rFonts w:ascii="宋体" w:hAnsi="宋体"/>
          <w:bCs/>
          <w:sz w:val="24"/>
        </w:rPr>
        <w:t xml:space="preserve">（4）交易所上市交易的可转换债券</w:t>
      </w:r>
      <w:r>
        <w:rPr>
          <w:rFonts w:ascii="宋体" w:hAnsi="宋体"/>
          <w:bCs/>
          <w:sz w:val="24"/>
        </w:rPr>
        <w:t xml:space="preserve">以每日收盘价作为估值全价；</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5</w:t>
      </w:r>
      <w:r>
        <w:rPr>
          <w:rFonts w:ascii="宋体" w:hAnsi="宋体"/>
          <w:bCs/>
          <w:sz w:val="24"/>
        </w:rPr>
        <w:t xml:space="preserve">）交易所上市不</w:t>
      </w:r>
      <w:r>
        <w:rPr>
          <w:rFonts w:ascii="宋体" w:hAnsi="宋体"/>
          <w:bCs/>
          <w:sz w:val="24"/>
        </w:rPr>
        <w:t xml:space="preserve">存在活跃市场的有价证券，采用估值技术确定公允价值。</w:t>
      </w:r>
      <w:r>
        <w:rPr>
          <w:rFonts w:ascii="宋体" w:hAnsi="宋体"/>
          <w:bCs/>
          <w:sz w:val="24"/>
        </w:rPr>
        <w:t xml:space="preserve">交易所市场挂牌转让</w:t>
      </w:r>
      <w:r>
        <w:rPr>
          <w:rFonts w:ascii="宋体" w:hAnsi="宋体"/>
          <w:bCs/>
          <w:sz w:val="24"/>
        </w:rPr>
        <w:t xml:space="preserve">的资产支持证券，采用估值技术确定公允价值</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bCs/>
          <w:sz w:val="24"/>
        </w:rPr>
        <w:t xml:space="preserve">市场活动</w:t>
      </w:r>
      <w:r>
        <w:rPr>
          <w:rFonts w:ascii="宋体" w:hAnsi="宋体"/>
          <w:bCs/>
          <w:sz w:val="24"/>
        </w:rPr>
        <w:t xml:space="preserve">或市场活动很少的情况下，应采用估值技术确定其公允价值。</w:t>
      </w:r>
      <w:r/>
    </w:p>
    <w:p>
      <w:pPr>
        <w:pStyle w:val="369"/>
        <w:ind w:firstLine="480"/>
        <w:snapToGrid w:val="1"/>
        <w:spacing w:lineRule="auto" w:line="360"/>
        <w:rPr>
          <w:rFonts w:ascii="宋体" w:hAnsi="宋体"/>
          <w:bCs/>
          <w:sz w:val="24"/>
        </w:rPr>
      </w:pPr>
      <w:r>
        <w:rPr>
          <w:rFonts w:ascii="宋体" w:hAnsi="宋体"/>
          <w:bCs/>
          <w:sz w:val="24"/>
        </w:rPr>
        <w:t xml:space="preserve">2、处于未上市期间的有价证券应区分如下情况处理：</w:t>
      </w:r>
      <w:r/>
    </w:p>
    <w:p>
      <w:pPr>
        <w:pStyle w:val="369"/>
        <w:ind w:firstLine="480"/>
        <w:snapToGrid w:val="1"/>
        <w:spacing w:lineRule="auto" w:line="360"/>
        <w:rPr>
          <w:rFonts w:ascii="宋体" w:hAnsi="宋体"/>
          <w:bCs/>
          <w:sz w:val="24"/>
        </w:rPr>
      </w:pPr>
      <w:r>
        <w:rPr>
          <w:rFonts w:ascii="宋体" w:hAnsi="宋体"/>
          <w:bCs/>
          <w:sz w:val="24"/>
        </w:rPr>
        <w:t xml:space="preserve">（1）送股、转增股、配股和公开增发的新股，按估值日在证券交易</w:t>
      </w:r>
      <w:r>
        <w:rPr>
          <w:rFonts w:ascii="宋体" w:hAnsi="宋体"/>
          <w:bCs/>
          <w:sz w:val="24"/>
        </w:rPr>
        <w:t xml:space="preserve">所挂牌的同一股票的估值方法估值；该日无交易的，以最近一日的市价（收盘价）估值；</w:t>
      </w:r>
      <w:r/>
    </w:p>
    <w:p>
      <w:pPr>
        <w:pStyle w:val="369"/>
        <w:ind w:firstLine="480"/>
        <w:snapToGrid w:val="1"/>
        <w:spacing w:lineRule="auto" w:line="360"/>
        <w:rPr>
          <w:rFonts w:ascii="宋体" w:hAnsi="宋体"/>
          <w:bCs/>
          <w:sz w:val="24"/>
        </w:rPr>
      </w:pPr>
      <w:r>
        <w:rPr>
          <w:rFonts w:ascii="宋体" w:hAnsi="宋体"/>
          <w:bCs/>
          <w:sz w:val="24"/>
        </w:rPr>
        <w:t xml:space="preserve">（2）首次公开发行未上市的股票</w:t>
      </w:r>
      <w:r>
        <w:rPr>
          <w:rFonts w:ascii="宋体" w:hAnsi="宋体"/>
          <w:bCs/>
          <w:sz w:val="24"/>
        </w:rPr>
        <w:t xml:space="preserve">和</w:t>
      </w:r>
      <w:r>
        <w:rPr>
          <w:rFonts w:ascii="宋体" w:hAnsi="宋体"/>
          <w:bCs/>
          <w:sz w:val="24"/>
        </w:rPr>
        <w:t xml:space="preserve">债券，采用估值技术确定公允价值，在估值技术难以可靠计量公允价值的情况下，按成本估值</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p>
    <w:p>
      <w:pPr>
        <w:pStyle w:val="369"/>
        <w:ind w:firstLine="480"/>
        <w:snapToGrid w:val="1"/>
        <w:spacing w:lineRule="auto" w:line="360"/>
        <w:rPr>
          <w:rFonts w:ascii="宋体" w:hAnsi="宋体"/>
          <w:bCs/>
          <w:sz w:val="24"/>
        </w:rPr>
      </w:pPr>
      <w:r>
        <w:rPr>
          <w:rFonts w:ascii="宋体" w:hAnsi="宋体"/>
          <w:bCs/>
          <w:sz w:val="24"/>
        </w:rPr>
        <w:t xml:space="preserve">3、对全国银行间市场上不含权的固定收益品种，按照第三方估值机构提供</w:t>
      </w:r>
      <w:r>
        <w:rPr>
          <w:rFonts w:ascii="宋体" w:hAnsi="宋体"/>
          <w:bCs/>
          <w:sz w:val="24"/>
        </w:rPr>
        <w:t xml:space="preserve">的相应品种当日的估值净价估值。对银行间市场上含权的固定收益品种，按照第三方估值机构提供的相应品种当日的唯一估值净价或推荐估值净价估值。对于含投资人回售权的固定收益品种，回售登记</w:t>
      </w:r>
      <w:r>
        <w:rPr>
          <w:rFonts w:ascii="宋体" w:hAnsi="宋体"/>
          <w:bCs/>
          <w:sz w:val="24"/>
        </w:rPr>
        <w:t xml:space="preserve">期</w:t>
      </w:r>
      <w:r>
        <w:rPr>
          <w:rFonts w:ascii="宋体" w:hAnsi="宋体"/>
          <w:bCs/>
          <w:sz w:val="24"/>
        </w:rPr>
        <w:t xml:space="preserve">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p>
    <w:p>
      <w:pPr>
        <w:pStyle w:val="369"/>
        <w:ind w:firstLine="480"/>
        <w:snapToGrid w:val="1"/>
        <w:spacing w:lineRule="auto" w:line="360"/>
        <w:rPr>
          <w:rFonts w:ascii="宋体" w:hAnsi="宋体"/>
          <w:bCs/>
          <w:sz w:val="24"/>
        </w:rPr>
      </w:pPr>
      <w:r>
        <w:rPr>
          <w:rFonts w:ascii="宋体" w:hAnsi="宋体"/>
          <w:bCs/>
          <w:sz w:val="24"/>
        </w:rPr>
        <w:t xml:space="preserve">4、同一债券或股票同时在两个或两个以上市场交易的，按债券或股票所处的市场分别估值。</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5、存款的估值方法</w:t>
      </w:r>
      <w:r/>
    </w:p>
    <w:p>
      <w:pPr>
        <w:pStyle w:val="369"/>
        <w:ind w:firstLine="480"/>
        <w:snapToGrid w:val="1"/>
        <w:spacing w:lineRule="auto" w:line="360"/>
        <w:rPr>
          <w:rFonts w:ascii="宋体" w:hAnsi="宋体"/>
          <w:bCs/>
          <w:sz w:val="24"/>
        </w:rPr>
      </w:pPr>
      <w:r>
        <w:rPr>
          <w:rFonts w:ascii="宋体" w:hAnsi="宋体"/>
          <w:bCs/>
          <w:sz w:val="24"/>
        </w:rPr>
        <w:t xml:space="preserve">持有的银</w:t>
      </w:r>
      <w:r>
        <w:rPr>
          <w:rFonts w:ascii="宋体" w:hAnsi="宋体"/>
          <w:bCs/>
          <w:sz w:val="24"/>
        </w:rPr>
        <w:t xml:space="preserve">行定期存款或通知存款以本金列示，按协议或合同利率逐日确认利息收入。</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6、同业存单的估值方法</w:t>
      </w:r>
      <w:r>
        <w:rPr>
          <w:rFonts w:ascii="宋体" w:hAnsi="宋体"/>
          <w:bCs/>
          <w:sz w:val="24"/>
        </w:rPr>
      </w:r>
      <w:r/>
    </w:p>
    <w:p>
      <w:pPr>
        <w:pStyle w:val="369"/>
        <w:ind w:firstLine="480"/>
        <w:snapToGrid w:val="1"/>
        <w:spacing w:lineRule="auto" w:line="360"/>
        <w:rPr>
          <w:rFonts w:ascii="宋体" w:hAnsi="宋体"/>
          <w:sz w:val="24"/>
        </w:rPr>
      </w:pPr>
      <w:r>
        <w:rPr>
          <w:rFonts w:ascii="宋体" w:hAnsi="宋体"/>
          <w:bCs/>
          <w:sz w:val="24"/>
          <w:szCs w:val="24"/>
        </w:rPr>
        <w:t xml:space="preserve">同业存单按估值日第三方估值机构提供的估值净价估值；选定的第三方估值机构未提供估值价格的，按成本估值。</w:t>
      </w:r>
      <w:r>
        <w:rPr>
          <w:rFonts w:ascii="宋体" w:hAnsi="宋体"/>
          <w:sz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7、本集合计划投资国债期货合约，一般以估值当日结算价进行估值，估值当日无结算价的，且最近交易日后经济环境未发生重大变化的，采用最近交易日结算价估值。</w:t>
      </w:r>
      <w:r>
        <w:rPr>
          <w:rFonts w:ascii="宋体" w:hAnsi="宋体"/>
          <w:bCs/>
          <w:sz w:val="24"/>
          <w:szCs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8、本集合计划投资股指期货合约，一般以估值当日结算价进行估值，估值当日无结算价的，且最近交易日后经济环境未发生重大变化的，采用最近交易日结算价估值。</w:t>
      </w:r>
      <w:r/>
    </w:p>
    <w:p>
      <w:pPr>
        <w:pStyle w:val="369"/>
        <w:ind w:firstLine="480"/>
        <w:snapToGrid w:val="1"/>
        <w:spacing w:lineRule="auto" w:line="360"/>
        <w:rPr>
          <w:rFonts w:ascii="宋体" w:hAnsi="宋体"/>
          <w:bCs/>
          <w:sz w:val="24"/>
        </w:rPr>
      </w:pPr>
      <w:r>
        <w:rPr>
          <w:rFonts w:ascii="宋体" w:hAnsi="宋体"/>
          <w:bCs/>
          <w:sz w:val="24"/>
        </w:rPr>
        <w:t xml:space="preserve">9</w:t>
      </w:r>
      <w:r>
        <w:rPr>
          <w:rFonts w:ascii="宋体" w:hAnsi="宋体"/>
          <w:bCs/>
          <w:sz w:val="24"/>
        </w:rPr>
        <w:t xml:space="preserve">、如有确凿证据表</w:t>
      </w:r>
      <w:r>
        <w:rPr>
          <w:rFonts w:ascii="宋体" w:hAnsi="宋体"/>
          <w:bCs/>
          <w:sz w:val="24"/>
        </w:rPr>
        <w:t xml:space="preserve">明按上述方法进行估值不能客观反映其公允价值的，管理人可根据具体情况与托管人商定后，按最能反映公允价值的价格估值。</w:t>
      </w:r>
      <w:r>
        <w:rPr>
          <w:rFonts w:ascii="宋体" w:hAnsi="宋体"/>
          <w:bCs/>
          <w:sz w:val="24"/>
        </w:rPr>
      </w:r>
      <w:r/>
    </w:p>
    <w:p>
      <w:pPr>
        <w:pStyle w:val="369"/>
        <w:ind w:firstLine="480"/>
        <w:snapToGrid w:val="1"/>
        <w:spacing w:lineRule="auto" w:line="360"/>
        <w:rPr>
          <w:rFonts w:ascii="宋体" w:hAnsi="宋体"/>
          <w:bCs/>
        </w:rPr>
      </w:pPr>
      <w:r>
        <w:rPr>
          <w:rFonts w:ascii="宋体" w:hAnsi="宋体"/>
          <w:bCs/>
          <w:sz w:val="24"/>
        </w:rPr>
        <w:t xml:space="preserve">10</w:t>
      </w:r>
      <w:r>
        <w:rPr>
          <w:rFonts w:ascii="宋体" w:hAnsi="宋体"/>
          <w:bCs/>
          <w:sz w:val="24"/>
        </w:rPr>
        <w:t xml:space="preserve">、当发生大额申购或赎回情形时，管理人可以采用摆动定价机制，以确保</w:t>
      </w:r>
      <w:r>
        <w:rPr>
          <w:rFonts w:ascii="宋体" w:hAnsi="宋体"/>
          <w:bCs/>
          <w:sz w:val="24"/>
        </w:rPr>
        <w:t xml:space="preserve">集合计划</w:t>
      </w:r>
      <w:r>
        <w:rPr>
          <w:rFonts w:ascii="宋体" w:hAnsi="宋体"/>
          <w:bCs/>
          <w:sz w:val="24"/>
        </w:rPr>
        <w:t xml:space="preserve">估值的公平性。</w:t>
      </w:r>
      <w:r>
        <w:rPr>
          <w:rFonts w:ascii="宋体" w:hAnsi="宋体"/>
          <w:bCs/>
        </w:rPr>
      </w:r>
      <w:r/>
    </w:p>
    <w:p>
      <w:pPr>
        <w:pStyle w:val="369"/>
        <w:ind w:firstLine="480"/>
        <w:snapToGrid w:val="1"/>
        <w:spacing w:lineRule="auto" w:line="360"/>
        <w:rPr>
          <w:rFonts w:ascii="宋体" w:hAnsi="宋体"/>
          <w:bCs/>
          <w:sz w:val="24"/>
        </w:rPr>
      </w:pPr>
      <w:r>
        <w:rPr>
          <w:rFonts w:ascii="宋体" w:hAnsi="宋体"/>
          <w:bCs/>
          <w:sz w:val="24"/>
        </w:rPr>
        <w:t xml:space="preserve">相关法律法规以及监管部门有强制规定的，从其规定。如有新增事项，按国家最新规定估值。</w:t>
      </w:r>
      <w:r/>
    </w:p>
    <w:p>
      <w:pPr>
        <w:pStyle w:val="369"/>
        <w:ind w:firstLine="480"/>
        <w:snapToGrid w:val="1"/>
        <w:spacing w:lineRule="auto" w:line="360"/>
        <w:rPr>
          <w:rStyle w:val="389"/>
          <w:rFonts w:ascii="宋体" w:hAnsi="宋体"/>
          <w:bCs/>
          <w:sz w:val="24"/>
        </w:rPr>
      </w:pPr>
      <w:r>
        <w:rPr>
          <w:rStyle w:val="389"/>
          <w:rFonts w:ascii="宋体" w:hAnsi="宋体"/>
          <w:bCs/>
          <w:sz w:val="24"/>
        </w:rPr>
        <w:t xml:space="preserve">如管理人或托管人发现</w:t>
      </w:r>
      <w:r>
        <w:rPr>
          <w:rFonts w:ascii="宋体" w:hAnsi="宋体"/>
          <w:bCs/>
          <w:sz w:val="24"/>
        </w:rPr>
        <w:t xml:space="preserve">集合计划</w:t>
      </w:r>
      <w:r>
        <w:rPr>
          <w:rStyle w:val="389"/>
          <w:rFonts w:ascii="宋体" w:hAnsi="宋体"/>
          <w:bCs/>
          <w:sz w:val="24"/>
        </w:rPr>
        <w:t xml:space="preserve">估值违反集合计划合同订明的估值方法、程序及相关法律法规的规定或者未能充分维护</w:t>
      </w:r>
      <w:r>
        <w:rPr>
          <w:rFonts w:ascii="宋体" w:hAnsi="宋体"/>
          <w:bCs/>
          <w:sz w:val="24"/>
        </w:rPr>
        <w:t xml:space="preserve">集合计划</w:t>
      </w:r>
      <w:r>
        <w:rPr>
          <w:rStyle w:val="389"/>
          <w:rFonts w:ascii="宋体" w:hAnsi="宋体"/>
          <w:bCs/>
          <w:sz w:val="24"/>
        </w:rPr>
        <w:t xml:space="preserve">份额持有人利益时，应立即通知对方，共同查明原因，双方协商解决。</w:t>
      </w:r>
      <w:r/>
    </w:p>
    <w:p>
      <w:pPr>
        <w:pStyle w:val="369"/>
        <w:ind w:firstLine="480"/>
        <w:snapToGrid w:val="1"/>
        <w:spacing w:lineRule="auto" w:line="360"/>
        <w:rPr>
          <w:rFonts w:ascii="宋体" w:hAnsi="宋体"/>
          <w:bCs/>
          <w:sz w:val="24"/>
        </w:rPr>
      </w:pPr>
      <w:r>
        <w:rPr>
          <w:rFonts w:ascii="宋体" w:hAnsi="宋体"/>
          <w:bCs/>
          <w:sz w:val="24"/>
        </w:rPr>
        <w:t xml:space="preserve">根据有关法律法规，集合计划资产净值计算和</w:t>
      </w:r>
      <w:r>
        <w:rPr>
          <w:rFonts w:ascii="宋体" w:hAnsi="宋体"/>
          <w:bCs/>
          <w:sz w:val="24"/>
        </w:rPr>
        <w:t xml:space="preserve">集合计</w:t>
      </w:r>
      <w:r>
        <w:rPr>
          <w:rFonts w:ascii="宋体" w:hAnsi="宋体"/>
          <w:bCs/>
          <w:sz w:val="24"/>
        </w:rPr>
        <w:t xml:space="preserve">划</w:t>
      </w:r>
      <w:r>
        <w:rPr>
          <w:rFonts w:ascii="宋体" w:hAnsi="宋体"/>
          <w:bCs/>
          <w:sz w:val="24"/>
        </w:rPr>
        <w:t xml:space="preserve">会计核算的义务由管理人承担。本集合计划的</w:t>
      </w:r>
      <w:r>
        <w:rPr>
          <w:rFonts w:ascii="宋体" w:hAnsi="宋体"/>
          <w:bCs/>
          <w:sz w:val="24"/>
        </w:rPr>
        <w:t xml:space="preserve">集合计划</w:t>
      </w:r>
      <w:r>
        <w:rPr>
          <w:rFonts w:ascii="宋体" w:hAnsi="宋体"/>
          <w:bCs/>
          <w:sz w:val="24"/>
        </w:rPr>
        <w:t xml:space="preserve">会计责任方由管理人担任，因此，就与本集合计划有关的会计问题，如经相关各方在平等基础上充分讨论后，仍无法达成一致的意见，按照管理人对集合计划净值</w:t>
      </w:r>
      <w:r>
        <w:rPr>
          <w:rFonts w:ascii="宋体" w:hAnsi="宋体"/>
          <w:bCs/>
          <w:sz w:val="24"/>
        </w:rPr>
        <w:t xml:space="preserve">信息</w:t>
      </w:r>
      <w:r>
        <w:rPr>
          <w:rFonts w:ascii="宋体" w:hAnsi="宋体"/>
          <w:bCs/>
          <w:sz w:val="24"/>
        </w:rPr>
        <w:t xml:space="preserve">的计算结果对外予以公布</w:t>
      </w:r>
      <w:r>
        <w:rPr>
          <w:rFonts w:ascii="宋体" w:hAnsi="宋体"/>
          <w:bCs/>
          <w:sz w:val="24"/>
        </w:rPr>
        <w:t xml:space="preserve">，由此给集合计划份额持有人和集合计划造成的损失以及因该交易日集合计划资产净值计算顺延错误而引起的损失，由管理人负责赔付</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五</w:t>
      </w:r>
      <w:r>
        <w:rPr>
          <w:rFonts w:ascii="宋体" w:hAnsi="宋体"/>
          <w:bCs/>
          <w:sz w:val="24"/>
        </w:rPr>
        <w:t xml:space="preserve">、估值程序</w:t>
      </w:r>
      <w:r/>
    </w:p>
    <w:p>
      <w:pPr>
        <w:pStyle w:val="369"/>
        <w:ind w:firstLine="480"/>
        <w:snapToGrid w:val="1"/>
        <w:spacing w:lineRule="auto" w:line="360"/>
        <w:rPr>
          <w:rFonts w:ascii="宋体" w:hAnsi="宋体"/>
          <w:bCs/>
          <w:sz w:val="24"/>
        </w:rPr>
      </w:pPr>
      <w:r>
        <w:rPr>
          <w:rFonts w:ascii="宋体" w:hAnsi="宋体"/>
          <w:bCs/>
          <w:sz w:val="24"/>
        </w:rPr>
        <w:t xml:space="preserve">1、集合计划份额净值是按照每个工作日闭市后，集合计划资产净值除以当日</w:t>
      </w:r>
      <w:r>
        <w:rPr>
          <w:rFonts w:ascii="宋体" w:hAnsi="宋体"/>
          <w:bCs/>
          <w:sz w:val="24"/>
        </w:rPr>
        <w:t xml:space="preserve">集合计划</w:t>
      </w:r>
      <w:r>
        <w:rPr>
          <w:rFonts w:ascii="宋体" w:hAnsi="宋体"/>
          <w:bCs/>
          <w:sz w:val="24"/>
        </w:rPr>
        <w:t xml:space="preserve">份额的余额数量计算，精确到</w:t>
      </w:r>
      <w:r>
        <w:rPr>
          <w:rFonts w:ascii="宋体" w:hAnsi="宋体"/>
          <w:bCs/>
          <w:sz w:val="24"/>
        </w:rPr>
        <w:t xml:space="preserve">0.0001</w:t>
      </w:r>
      <w:r>
        <w:rPr>
          <w:rFonts w:ascii="宋体" w:hAnsi="宋体"/>
          <w:bCs/>
          <w:sz w:val="24"/>
        </w:rPr>
        <w:t xml:space="preserve">元，小数点后第</w:t>
      </w:r>
      <w:r>
        <w:rPr>
          <w:rFonts w:ascii="宋体" w:hAnsi="宋体"/>
          <w:bCs/>
          <w:sz w:val="24"/>
        </w:rPr>
        <w:t xml:space="preserve">5</w:t>
      </w:r>
      <w:r>
        <w:rPr>
          <w:rFonts w:ascii="宋体" w:hAnsi="宋体"/>
          <w:bCs/>
          <w:sz w:val="24"/>
        </w:rPr>
        <w:t xml:space="preserve">位四舍五入。管理人可以设立大</w:t>
      </w:r>
      <w:r>
        <w:rPr>
          <w:rFonts w:ascii="宋体" w:hAnsi="宋体"/>
          <w:bCs/>
          <w:sz w:val="24"/>
        </w:rPr>
        <w:t xml:space="preserve">额赎回情形下的净值精度应急调整机制。国家另有规定的，从其规定。</w:t>
      </w:r>
      <w:r/>
    </w:p>
    <w:p>
      <w:pPr>
        <w:pStyle w:val="369"/>
        <w:ind w:firstLine="480"/>
        <w:snapToGrid w:val="1"/>
        <w:spacing w:lineRule="auto" w:line="360"/>
        <w:rPr>
          <w:rFonts w:ascii="宋体" w:hAnsi="宋体"/>
          <w:bCs/>
          <w:sz w:val="24"/>
        </w:rPr>
      </w:pPr>
      <w:r>
        <w:rPr>
          <w:rFonts w:ascii="宋体" w:hAnsi="宋体"/>
          <w:bCs/>
          <w:sz w:val="24"/>
        </w:rPr>
        <w:t xml:space="preserve">管理人</w:t>
      </w:r>
      <w:r>
        <w:rPr>
          <w:rFonts w:ascii="宋体" w:hAnsi="宋体"/>
          <w:bCs/>
          <w:sz w:val="24"/>
        </w:rPr>
        <w:t xml:space="preserve">每个工作日计算集合计划资产净值及集合计划份额净值，并按规定公告。</w:t>
      </w:r>
      <w:r/>
    </w:p>
    <w:p>
      <w:pPr>
        <w:pStyle w:val="369"/>
        <w:ind w:firstLine="480"/>
        <w:snapToGrid w:val="1"/>
        <w:spacing w:lineRule="auto" w:line="360"/>
        <w:rPr>
          <w:rFonts w:ascii="宋体" w:hAnsi="宋体"/>
          <w:bCs/>
          <w:sz w:val="24"/>
        </w:rPr>
      </w:pPr>
      <w:r>
        <w:rPr>
          <w:rFonts w:ascii="宋体" w:hAnsi="宋体"/>
          <w:bCs/>
          <w:sz w:val="24"/>
        </w:rPr>
        <w:t xml:space="preserve">2、管理人应每个工作日对</w:t>
      </w:r>
      <w:r>
        <w:rPr>
          <w:rFonts w:ascii="宋体" w:hAnsi="宋体"/>
          <w:bCs/>
          <w:sz w:val="24"/>
        </w:rPr>
        <w:t xml:space="preserve">集合计划</w:t>
      </w:r>
      <w:r>
        <w:rPr>
          <w:rFonts w:ascii="宋体" w:hAnsi="宋体"/>
          <w:bCs/>
          <w:sz w:val="24"/>
        </w:rPr>
        <w:t xml:space="preserve">资产估值。但管理人根据法律法规或本合同的规定暂停估值时除外。管理人每个工作日对</w:t>
      </w:r>
      <w:r>
        <w:rPr>
          <w:rFonts w:ascii="宋体" w:hAnsi="宋体"/>
          <w:bCs/>
          <w:sz w:val="24"/>
        </w:rPr>
        <w:t xml:space="preserve">集合计划</w:t>
      </w:r>
      <w:r>
        <w:rPr>
          <w:rFonts w:ascii="宋体" w:hAnsi="宋体"/>
          <w:bCs/>
          <w:sz w:val="24"/>
        </w:rPr>
        <w:t xml:space="preserve">资产估值后，将当日的集合计划资产净值和集合计划份额净值结果发送托管人，经托管人复核无误后，由管理人按规定对外公布。</w:t>
      </w:r>
      <w:r/>
    </w:p>
    <w:p>
      <w:pPr>
        <w:pStyle w:val="369"/>
        <w:ind w:firstLine="480"/>
        <w:snapToGrid w:val="1"/>
        <w:spacing w:lineRule="auto" w:line="360"/>
        <w:rPr>
          <w:rFonts w:ascii="宋体" w:hAnsi="宋体"/>
          <w:bCs/>
          <w:sz w:val="24"/>
        </w:rPr>
      </w:pPr>
      <w:r>
        <w:rPr>
          <w:rFonts w:ascii="宋体" w:hAnsi="宋体"/>
          <w:bCs/>
          <w:sz w:val="24"/>
        </w:rPr>
        <w:t xml:space="preserve">六</w:t>
      </w:r>
      <w:r>
        <w:rPr>
          <w:rFonts w:ascii="宋体" w:hAnsi="宋体"/>
          <w:bCs/>
          <w:sz w:val="24"/>
        </w:rPr>
        <w:t xml:space="preserve">、估值错误的处理</w:t>
      </w:r>
      <w:r/>
    </w:p>
    <w:p>
      <w:pPr>
        <w:pStyle w:val="369"/>
        <w:ind w:firstLine="480"/>
        <w:snapToGrid w:val="1"/>
        <w:spacing w:lineRule="auto" w:line="360"/>
        <w:rPr>
          <w:rFonts w:ascii="宋体" w:hAnsi="宋体"/>
          <w:bCs/>
          <w:sz w:val="24"/>
        </w:rPr>
      </w:pPr>
      <w:r>
        <w:rPr>
          <w:rFonts w:ascii="宋体" w:hAnsi="宋体"/>
          <w:bCs/>
          <w:sz w:val="24"/>
        </w:rPr>
        <w:t xml:space="preserve">管理人和托管人将采取必要、适当、合理的措施确保</w:t>
      </w:r>
      <w:r>
        <w:rPr>
          <w:rFonts w:ascii="宋体" w:hAnsi="宋体"/>
          <w:bCs/>
          <w:sz w:val="24"/>
        </w:rPr>
        <w:t xml:space="preserve">集合计划</w:t>
      </w:r>
      <w:r>
        <w:rPr>
          <w:rFonts w:ascii="宋体" w:hAnsi="宋体"/>
          <w:bCs/>
          <w:sz w:val="24"/>
        </w:rPr>
        <w:t xml:space="preserve">资产估值的准确性、及时性。当集合计划份额净值小数点后</w:t>
      </w:r>
      <w:r>
        <w:rPr>
          <w:rFonts w:ascii="宋体" w:hAnsi="宋体"/>
          <w:bCs/>
          <w:sz w:val="24"/>
        </w:rPr>
        <w:t xml:space="preserve">4</w:t>
      </w:r>
      <w:r>
        <w:rPr>
          <w:rFonts w:ascii="宋体" w:hAnsi="宋体"/>
          <w:bCs/>
          <w:sz w:val="24"/>
        </w:rPr>
        <w:t xml:space="preserve">位以内(含第</w:t>
      </w:r>
      <w:r>
        <w:rPr>
          <w:rFonts w:ascii="宋体" w:hAnsi="宋体"/>
          <w:bCs/>
          <w:sz w:val="24"/>
        </w:rPr>
        <w:t xml:space="preserve">4</w:t>
      </w:r>
      <w:r>
        <w:rPr>
          <w:rFonts w:ascii="宋体" w:hAnsi="宋体"/>
          <w:bCs/>
          <w:sz w:val="24"/>
        </w:rPr>
        <w:t xml:space="preserve">位)发生估值错误时，视为集合计划份额净值错误。</w:t>
      </w:r>
      <w:r/>
    </w:p>
    <w:p>
      <w:pPr>
        <w:pStyle w:val="369"/>
        <w:ind w:firstLine="480"/>
        <w:snapToGrid w:val="1"/>
        <w:spacing w:lineRule="auto" w:line="360"/>
        <w:rPr>
          <w:rFonts w:ascii="宋体" w:hAnsi="宋体"/>
          <w:bCs/>
          <w:sz w:val="24"/>
        </w:rPr>
      </w:pPr>
      <w:r>
        <w:rPr>
          <w:rFonts w:ascii="宋体" w:hAnsi="宋体"/>
          <w:bCs/>
          <w:sz w:val="24"/>
        </w:rPr>
        <w:t xml:space="preserve">本合同的当事人应按照以下约定处理：</w:t>
      </w:r>
      <w:r/>
    </w:p>
    <w:p>
      <w:pPr>
        <w:pStyle w:val="369"/>
        <w:ind w:firstLine="480"/>
        <w:snapToGrid w:val="1"/>
        <w:spacing w:lineRule="auto" w:line="360"/>
        <w:rPr>
          <w:rFonts w:ascii="宋体" w:hAnsi="宋体"/>
          <w:bCs/>
          <w:sz w:val="24"/>
        </w:rPr>
      </w:pPr>
      <w:r>
        <w:rPr>
          <w:rFonts w:ascii="宋体" w:hAnsi="宋体"/>
          <w:bCs/>
          <w:sz w:val="24"/>
        </w:rPr>
        <w:t xml:space="preserve">1、估值错误类型</w:t>
      </w:r>
      <w:r/>
    </w:p>
    <w:p>
      <w:pPr>
        <w:pStyle w:val="369"/>
        <w:ind w:firstLine="480"/>
        <w:snapToGrid w:val="1"/>
        <w:spacing w:lineRule="auto" w:line="360"/>
        <w:rPr>
          <w:rFonts w:ascii="宋体" w:hAnsi="宋体"/>
          <w:bCs/>
          <w:sz w:val="24"/>
        </w:rPr>
      </w:pPr>
      <w:r>
        <w:rPr>
          <w:rFonts w:ascii="宋体" w:hAnsi="宋体"/>
          <w:bCs/>
          <w:sz w:val="24"/>
        </w:rPr>
        <w:t xml:space="preserve">本集合计划运作过程中，如果由于管理人或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r/>
    </w:p>
    <w:p>
      <w:pPr>
        <w:pStyle w:val="369"/>
        <w:ind w:firstLine="480"/>
        <w:snapToGrid w:val="1"/>
        <w:spacing w:lineRule="auto" w:line="360"/>
        <w:rPr>
          <w:rFonts w:ascii="宋体" w:hAnsi="宋体"/>
          <w:bCs/>
          <w:sz w:val="24"/>
        </w:rPr>
      </w:pPr>
      <w:r>
        <w:rPr>
          <w:rFonts w:ascii="宋体" w:hAnsi="宋体"/>
          <w:bCs/>
          <w:sz w:val="24"/>
        </w:rPr>
        <w:t xml:space="preserve">上述估值错误的主要类型包括但不限于：资料申报差错、数据传输差错、数据计算差错、系统故障差错、下达指令差错等。</w:t>
      </w:r>
      <w:r/>
    </w:p>
    <w:p>
      <w:pPr>
        <w:pStyle w:val="369"/>
        <w:ind w:firstLine="480"/>
        <w:snapToGrid w:val="1"/>
        <w:spacing w:lineRule="auto" w:line="360"/>
        <w:rPr>
          <w:rFonts w:ascii="宋体" w:hAnsi="宋体"/>
          <w:bCs/>
          <w:sz w:val="24"/>
        </w:rPr>
      </w:pPr>
      <w:r>
        <w:rPr>
          <w:rFonts w:ascii="宋体" w:hAnsi="宋体"/>
          <w:bCs/>
          <w:sz w:val="24"/>
        </w:rPr>
        <w:t xml:space="preserve">2、估值错误处理原则</w:t>
      </w:r>
      <w:r/>
    </w:p>
    <w:p>
      <w:pPr>
        <w:pStyle w:val="369"/>
        <w:ind w:firstLine="480"/>
        <w:snapToGrid w:val="1"/>
        <w:spacing w:lineRule="auto" w:line="360"/>
        <w:rPr>
          <w:rFonts w:ascii="宋体" w:hAnsi="宋体"/>
          <w:bCs/>
          <w:sz w:val="24"/>
        </w:rPr>
      </w:pPr>
      <w:r>
        <w:rPr>
          <w:rFonts w:ascii="宋体" w:hAnsi="宋体"/>
          <w:bCs/>
          <w:sz w:val="24"/>
        </w:rPr>
        <w:t xml:space="preserve">（1）估值错误已发生，但尚未</w:t>
      </w:r>
      <w:r>
        <w:rPr>
          <w:rFonts w:ascii="宋体" w:hAnsi="宋体"/>
          <w:bCs/>
          <w:sz w:val="24"/>
        </w:rPr>
        <w:t xml:space="preserve">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w:t>
      </w:r>
      <w:r>
        <w:rPr>
          <w:rFonts w:ascii="宋体" w:hAnsi="宋体"/>
          <w:bCs/>
          <w:sz w:val="24"/>
        </w:rPr>
        <w:t xml:space="preserve">）估值错误的责任方对有关当事人的直接损失负责，不对间接损失负责，并且仅对估值错误的有关直接当事人负责，不对第</w:t>
      </w:r>
      <w:r>
        <w:rPr>
          <w:rFonts w:ascii="宋体" w:hAnsi="宋体"/>
          <w:bCs/>
          <w:sz w:val="24"/>
        </w:rPr>
        <w:t xml:space="preserve">三方负责。</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3</w:t>
      </w:r>
      <w:r>
        <w:rPr>
          <w:rFonts w:ascii="宋体" w:hAnsi="宋体"/>
          <w:bCs/>
          <w:sz w:val="24"/>
        </w:rPr>
        <w:t xml:space="preserve">）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4</w:t>
      </w:r>
      <w:r>
        <w:rPr>
          <w:rFonts w:ascii="宋体" w:hAnsi="宋体"/>
          <w:bCs/>
          <w:sz w:val="24"/>
        </w:rPr>
        <w:t xml:space="preserve">）估值错误调整采</w:t>
      </w:r>
      <w:r>
        <w:rPr>
          <w:rFonts w:ascii="宋体" w:hAnsi="宋体"/>
          <w:bCs/>
          <w:sz w:val="24"/>
        </w:rPr>
        <w:t xml:space="preserve">用尽量恢复至假设未发生估值错误的正确情形的方式。</w:t>
      </w:r>
      <w:r/>
    </w:p>
    <w:p>
      <w:pPr>
        <w:pStyle w:val="369"/>
        <w:ind w:firstLine="480"/>
        <w:snapToGrid w:val="1"/>
        <w:spacing w:lineRule="auto" w:line="360"/>
        <w:rPr>
          <w:rFonts w:ascii="宋体" w:hAnsi="宋体"/>
          <w:bCs/>
          <w:sz w:val="24"/>
        </w:rPr>
      </w:pPr>
      <w:r>
        <w:rPr>
          <w:rFonts w:ascii="宋体" w:hAnsi="宋体"/>
          <w:bCs/>
          <w:sz w:val="24"/>
        </w:rPr>
        <w:t xml:space="preserve">3、估值错误处理程序</w:t>
      </w:r>
      <w:r/>
    </w:p>
    <w:p>
      <w:pPr>
        <w:pStyle w:val="369"/>
        <w:ind w:firstLine="480"/>
        <w:snapToGrid w:val="1"/>
        <w:spacing w:lineRule="auto" w:line="360"/>
        <w:rPr>
          <w:rFonts w:ascii="宋体" w:hAnsi="宋体"/>
          <w:bCs/>
          <w:sz w:val="24"/>
        </w:rPr>
      </w:pPr>
      <w:r>
        <w:rPr>
          <w:rFonts w:ascii="宋体" w:hAnsi="宋体"/>
          <w:bCs/>
          <w:sz w:val="24"/>
        </w:rPr>
        <w:t xml:space="preserve">估值错误被发现后，有关的当事人应当及时进行处理，处理的程序如下：</w:t>
      </w:r>
      <w:r/>
    </w:p>
    <w:p>
      <w:pPr>
        <w:pStyle w:val="369"/>
        <w:ind w:firstLine="480"/>
        <w:snapToGrid w:val="1"/>
        <w:spacing w:lineRule="auto" w:line="360"/>
        <w:rPr>
          <w:rFonts w:ascii="宋体" w:hAnsi="宋体"/>
          <w:bCs/>
          <w:sz w:val="24"/>
        </w:rPr>
      </w:pPr>
      <w:r>
        <w:rPr>
          <w:rFonts w:ascii="宋体" w:hAnsi="宋体"/>
          <w:bCs/>
          <w:sz w:val="24"/>
        </w:rPr>
        <w:t xml:space="preserve">（1）查明估值错误发生的原因，列明所有的当事人，并根据估值错误发生的原因确定估值错误的责任方；</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w:t>
      </w:r>
      <w:r>
        <w:rPr>
          <w:rFonts w:ascii="宋体" w:hAnsi="宋体"/>
          <w:bCs/>
          <w:sz w:val="24"/>
        </w:rPr>
        <w:t xml:space="preserve">）根据估值错误处理原则或当事人协商的方法对因估值错误造成的损失进行评估；</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3</w:t>
      </w:r>
      <w:r>
        <w:rPr>
          <w:rFonts w:ascii="宋体" w:hAnsi="宋体"/>
          <w:bCs/>
          <w:sz w:val="24"/>
        </w:rPr>
        <w:t xml:space="preserve">）根据估值错误处理原则或当事人协商的方法由估值错误的责任方进行更正和赔偿损失；</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4</w:t>
      </w:r>
      <w:r>
        <w:rPr>
          <w:rFonts w:ascii="宋体" w:hAnsi="宋体"/>
          <w:bCs/>
          <w:sz w:val="24"/>
        </w:rPr>
        <w:t xml:space="preserve">）根据估值错误处理的方法，需要修改集合计划登记机构交易数据的，由集合计划登记机构进行更正，并就估值错误的更正向有</w:t>
      </w:r>
      <w:r>
        <w:rPr>
          <w:rFonts w:ascii="宋体" w:hAnsi="宋体"/>
          <w:bCs/>
          <w:sz w:val="24"/>
        </w:rPr>
        <w:t xml:space="preserve">关当事人进行确认。</w:t>
      </w:r>
      <w:r/>
    </w:p>
    <w:p>
      <w:pPr>
        <w:pStyle w:val="369"/>
        <w:ind w:firstLine="480"/>
        <w:snapToGrid w:val="1"/>
        <w:spacing w:lineRule="auto" w:line="360"/>
        <w:rPr>
          <w:rFonts w:ascii="宋体" w:hAnsi="宋体"/>
          <w:bCs/>
          <w:sz w:val="24"/>
        </w:rPr>
      </w:pPr>
      <w:r>
        <w:rPr>
          <w:rFonts w:ascii="宋体" w:hAnsi="宋体"/>
          <w:bCs/>
          <w:sz w:val="24"/>
        </w:rPr>
        <w:t xml:space="preserve">4、集合计划份额净值估值错误处理的方法如下：</w:t>
      </w:r>
      <w:r/>
    </w:p>
    <w:p>
      <w:pPr>
        <w:pStyle w:val="369"/>
        <w:ind w:firstLine="480"/>
        <w:snapToGrid w:val="1"/>
        <w:spacing w:lineRule="auto" w:line="360"/>
        <w:rPr>
          <w:rFonts w:ascii="宋体" w:hAnsi="宋体"/>
          <w:bCs/>
          <w:sz w:val="24"/>
        </w:rPr>
      </w:pPr>
      <w:r>
        <w:rPr>
          <w:rFonts w:ascii="宋体" w:hAnsi="宋体"/>
          <w:bCs/>
          <w:sz w:val="24"/>
        </w:rPr>
        <w:t xml:space="preserve">（1）集合计划份额净值计算出现错误时，管理人应当立即予以纠正，通报托管人，并采取合理的措施防止损失进一步扩大</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w:t>
      </w:r>
      <w:r>
        <w:rPr>
          <w:rFonts w:ascii="宋体" w:hAnsi="宋体"/>
          <w:bCs/>
          <w:sz w:val="24"/>
        </w:rPr>
        <w:t xml:space="preserve">）错误偏差达到</w:t>
      </w:r>
      <w:r>
        <w:rPr>
          <w:rFonts w:ascii="宋体" w:hAnsi="宋体"/>
          <w:bCs/>
          <w:sz w:val="24"/>
        </w:rPr>
        <w:t xml:space="preserve">或超过</w:t>
      </w:r>
      <w:r>
        <w:rPr>
          <w:rFonts w:ascii="宋体" w:hAnsi="宋体"/>
          <w:bCs/>
          <w:sz w:val="24"/>
        </w:rPr>
        <w:t xml:space="preserve">集合计划份额净值的0.25%时，管理人应当通报托管人并报中国证监会备案；错误偏差达到</w:t>
      </w:r>
      <w:r>
        <w:rPr>
          <w:rFonts w:ascii="宋体" w:hAnsi="宋体"/>
          <w:bCs/>
          <w:sz w:val="24"/>
        </w:rPr>
        <w:t xml:space="preserve">或超过</w:t>
      </w:r>
      <w:r>
        <w:rPr>
          <w:rFonts w:ascii="宋体" w:hAnsi="宋体"/>
          <w:bCs/>
          <w:sz w:val="24"/>
        </w:rPr>
        <w:t xml:space="preserve">集合计划份额净值的0.5%时，管理人应当公告，并报中国证监会备案</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3</w:t>
      </w:r>
      <w:r>
        <w:rPr>
          <w:rFonts w:ascii="宋体" w:hAnsi="宋体"/>
          <w:bCs/>
          <w:sz w:val="24"/>
        </w:rPr>
        <w:t xml:space="preserve">）前述内容如法律法规或监管</w:t>
      </w:r>
      <w:r>
        <w:rPr>
          <w:rFonts w:ascii="宋体" w:hAnsi="宋体"/>
          <w:bCs/>
          <w:sz w:val="24"/>
        </w:rPr>
        <w:t xml:space="preserve">机关</w:t>
      </w:r>
      <w:r>
        <w:rPr>
          <w:rFonts w:ascii="宋体" w:hAnsi="宋体"/>
          <w:bCs/>
          <w:sz w:val="24"/>
        </w:rPr>
        <w:t xml:space="preserve">另有规定的，从其规定处理。</w:t>
      </w:r>
      <w:r/>
    </w:p>
    <w:p>
      <w:pPr>
        <w:pStyle w:val="369"/>
        <w:ind w:firstLine="480"/>
        <w:snapToGrid w:val="1"/>
        <w:spacing w:lineRule="auto" w:line="360"/>
        <w:rPr>
          <w:rFonts w:ascii="宋体" w:hAnsi="宋体"/>
          <w:sz w:val="24"/>
          <w:szCs w:val="24"/>
        </w:rPr>
      </w:pPr>
      <w:r>
        <w:rPr>
          <w:rFonts w:ascii="宋体" w:hAnsi="宋体"/>
          <w:bCs/>
          <w:sz w:val="24"/>
        </w:rPr>
        <w:t xml:space="preserve">5、</w:t>
      </w:r>
      <w:r>
        <w:rPr>
          <w:rFonts w:ascii="宋体" w:hAnsi="宋体"/>
          <w:sz w:val="24"/>
          <w:szCs w:val="24"/>
        </w:rPr>
        <w:t xml:space="preserve">特殊情况的处理</w:t>
      </w:r>
      <w:r/>
    </w:p>
    <w:p>
      <w:pPr>
        <w:pStyle w:val="369"/>
        <w:ind w:firstLine="425"/>
        <w:snapToGrid w:val="1"/>
        <w:spacing w:lineRule="auto" w:line="360"/>
        <w:rPr>
          <w:rFonts w:ascii="宋体" w:hAnsi="宋体"/>
          <w:sz w:val="24"/>
          <w:szCs w:val="24"/>
        </w:rPr>
      </w:pPr>
      <w:r>
        <w:rPr>
          <w:rFonts w:ascii="宋体" w:hAnsi="宋体"/>
          <w:sz w:val="24"/>
          <w:szCs w:val="24"/>
        </w:rPr>
        <w:t xml:space="preserve">（1）管理人或托管人按集合计划合同约定的估值方法</w:t>
      </w:r>
      <w:r>
        <w:rPr>
          <w:rFonts w:ascii="宋体" w:hAnsi="宋体"/>
          <w:sz w:val="24"/>
          <w:szCs w:val="24"/>
        </w:rPr>
        <w:t xml:space="preserve">第</w:t>
      </w:r>
      <w:r>
        <w:rPr>
          <w:rFonts w:ascii="宋体" w:hAnsi="宋体"/>
          <w:sz w:val="24"/>
          <w:szCs w:val="24"/>
        </w:rPr>
        <w:t xml:space="preserve">9</w:t>
      </w:r>
      <w:r>
        <w:rPr>
          <w:rFonts w:ascii="宋体" w:hAnsi="宋体"/>
          <w:sz w:val="24"/>
          <w:szCs w:val="24"/>
        </w:rPr>
        <w:t xml:space="preserve">项</w:t>
      </w:r>
      <w:r>
        <w:rPr>
          <w:rFonts w:ascii="宋体" w:hAnsi="宋体"/>
          <w:sz w:val="24"/>
          <w:szCs w:val="24"/>
        </w:rPr>
        <w:t xml:space="preserve">进行估值时，所造</w:t>
      </w:r>
      <w:r>
        <w:rPr>
          <w:rFonts w:ascii="宋体" w:hAnsi="宋体"/>
          <w:sz w:val="24"/>
          <w:szCs w:val="24"/>
        </w:rPr>
        <w:t xml:space="preserve">成的误差不作为</w:t>
      </w:r>
      <w:r>
        <w:rPr>
          <w:rFonts w:ascii="宋体" w:hAnsi="宋体"/>
          <w:bCs/>
          <w:sz w:val="24"/>
        </w:rPr>
        <w:t xml:space="preserve">集合计划</w:t>
      </w:r>
      <w:r>
        <w:rPr>
          <w:rFonts w:ascii="宋体" w:hAnsi="宋体"/>
          <w:sz w:val="24"/>
          <w:szCs w:val="24"/>
        </w:rPr>
        <w:t xml:space="preserve">资产估值错误处理</w:t>
      </w:r>
      <w:r>
        <w:rPr>
          <w:rFonts w:ascii="宋体" w:hAnsi="宋体"/>
          <w:sz w:val="24"/>
          <w:szCs w:val="24"/>
        </w:rPr>
        <w:t xml:space="preserve">；</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（2）由于不可抗力原</w:t>
      </w:r>
      <w:r>
        <w:rPr>
          <w:rFonts w:ascii="宋体" w:hAnsi="宋体"/>
          <w:sz w:val="24"/>
        </w:rPr>
        <w:t xml:space="preserve">因、有关会计制度变化</w:t>
      </w:r>
      <w:bookmarkStart w:id="303" w:name="_Hlk32592655"/>
      <w:r>
        <w:rPr>
          <w:rFonts w:ascii="宋体" w:hAnsi="宋体"/>
          <w:sz w:val="24"/>
        </w:rPr>
        <w:t xml:space="preserve">、市场规则变更</w:t>
      </w:r>
      <w:bookmarkEnd w:id="303"/>
      <w:r>
        <w:rPr>
          <w:rFonts w:ascii="宋体" w:hAnsi="宋体"/>
          <w:sz w:val="24"/>
          <w:szCs w:val="24"/>
        </w:rPr>
        <w:t xml:space="preserve">或由于证券</w:t>
      </w:r>
      <w:r>
        <w:rPr>
          <w:rFonts w:ascii="宋体" w:hAnsi="宋体"/>
          <w:sz w:val="24"/>
          <w:szCs w:val="24"/>
        </w:rPr>
        <w:t xml:space="preserve">/期货</w:t>
      </w:r>
      <w:r>
        <w:rPr>
          <w:rFonts w:ascii="宋体" w:hAnsi="宋体"/>
          <w:color w:val="000000"/>
          <w:sz w:val="24"/>
          <w:szCs w:val="24"/>
        </w:rPr>
        <w:t xml:space="preserve">交易所</w:t>
      </w:r>
      <w:r>
        <w:rPr>
          <w:rFonts w:ascii="宋体" w:hAnsi="宋体"/>
          <w:sz w:val="24"/>
          <w:szCs w:val="24"/>
        </w:rPr>
        <w:t xml:space="preserve">及登记结算公司</w:t>
      </w:r>
      <w:r>
        <w:rPr>
          <w:rFonts w:ascii="宋体" w:hAnsi="宋体"/>
          <w:sz w:val="24"/>
        </w:rPr>
        <w:t xml:space="preserve">等第三方机构</w:t>
      </w:r>
      <w:r>
        <w:rPr>
          <w:rFonts w:ascii="宋体" w:hAnsi="宋体"/>
          <w:sz w:val="24"/>
          <w:szCs w:val="24"/>
        </w:rPr>
        <w:t xml:space="preserve">发送的数据错误等，管理人和托管人虽然已经采取必要、适当、合理的措施进行检查，但未能发现错误的，由此造成的</w:t>
      </w:r>
      <w:r>
        <w:rPr>
          <w:rFonts w:ascii="宋体" w:hAnsi="宋体"/>
          <w:bCs/>
          <w:sz w:val="24"/>
        </w:rPr>
        <w:t xml:space="preserve">集合计划</w:t>
      </w:r>
      <w:r>
        <w:rPr>
          <w:rFonts w:ascii="宋体" w:hAnsi="宋体"/>
          <w:sz w:val="24"/>
          <w:szCs w:val="24"/>
        </w:rPr>
        <w:t xml:space="preserve">资产估值错误，管理人和托管人免除赔偿责任。但管理人、托管人应当积极采取必要的措施减轻或消除由此造成的影响。</w:t>
      </w:r>
      <w:r>
        <w:rPr>
          <w:rFonts w:ascii="宋体" w:hAnsi="宋体"/>
          <w:sz w:val="24"/>
          <w:szCs w:val="24"/>
        </w:rPr>
      </w:r>
      <w:r/>
    </w:p>
    <w:p>
      <w:pPr>
        <w:pStyle w:val="369"/>
        <w:ind w:firstLine="480"/>
        <w:snapToGrid w:val="1"/>
        <w:spacing w:lineRule="auto" w:line="360"/>
        <w:rPr>
          <w:rFonts w:ascii="宋体" w:hAnsi="宋体"/>
          <w:bCs/>
          <w:sz w:val="24"/>
        </w:rPr>
      </w:pPr>
      <w:r>
        <w:rPr>
          <w:rFonts w:ascii="宋体" w:hAnsi="宋体"/>
          <w:bCs/>
          <w:sz w:val="24"/>
        </w:rPr>
        <w:t xml:space="preserve">七</w:t>
      </w:r>
      <w:r>
        <w:rPr>
          <w:rFonts w:ascii="宋体" w:hAnsi="宋体"/>
          <w:bCs/>
          <w:sz w:val="24"/>
        </w:rPr>
        <w:t xml:space="preserve">、暂停估值的情形</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集合计划</w:t>
      </w:r>
      <w:r>
        <w:rPr>
          <w:rFonts w:ascii="宋体" w:hAnsi="宋体"/>
          <w:bCs/>
          <w:sz w:val="24"/>
        </w:rPr>
        <w:t xml:space="preserve">投资所涉及的证券</w:t>
      </w:r>
      <w:r>
        <w:rPr>
          <w:rFonts w:ascii="宋体" w:hAnsi="宋体"/>
          <w:bCs/>
          <w:sz w:val="24"/>
        </w:rPr>
        <w:t xml:space="preserve">/期货</w:t>
      </w:r>
      <w:r>
        <w:rPr>
          <w:rFonts w:ascii="宋体" w:hAnsi="宋体"/>
          <w:bCs/>
          <w:sz w:val="24"/>
        </w:rPr>
        <w:t xml:space="preserve">交易市场遇法定节假日或因其他原因暂停营业时；</w:t>
      </w:r>
      <w:r/>
    </w:p>
    <w:p>
      <w:pPr>
        <w:pStyle w:val="369"/>
        <w:ind w:firstLine="480"/>
        <w:snapToGrid w:val="1"/>
        <w:spacing w:lineRule="auto" w:line="360"/>
        <w:rPr>
          <w:rFonts w:ascii="宋体" w:hAnsi="宋体"/>
          <w:bCs/>
          <w:sz w:val="24"/>
        </w:rPr>
      </w:pPr>
      <w:r>
        <w:rPr>
          <w:rFonts w:ascii="宋体" w:hAnsi="宋体"/>
          <w:bCs/>
          <w:sz w:val="24"/>
        </w:rPr>
        <w:t xml:space="preserve">2、因不可抗力致使管理人、托管人无法准确评估</w:t>
      </w:r>
      <w:r>
        <w:rPr>
          <w:rFonts w:ascii="宋体" w:hAnsi="宋体"/>
          <w:bCs/>
          <w:sz w:val="24"/>
        </w:rPr>
        <w:t xml:space="preserve">集合</w:t>
      </w:r>
      <w:r>
        <w:rPr>
          <w:rFonts w:ascii="宋体" w:hAnsi="宋体"/>
          <w:bCs/>
          <w:sz w:val="24"/>
        </w:rPr>
        <w:t xml:space="preserve">计划</w:t>
      </w:r>
      <w:r>
        <w:rPr>
          <w:rFonts w:ascii="宋体" w:hAnsi="宋体"/>
          <w:bCs/>
          <w:sz w:val="24"/>
        </w:rPr>
        <w:t xml:space="preserve">资产价值时；</w:t>
      </w:r>
      <w:r/>
    </w:p>
    <w:p>
      <w:pPr>
        <w:pStyle w:val="369"/>
        <w:ind w:firstLine="480"/>
        <w:snapToGrid w:val="1"/>
        <w:spacing w:lineRule="auto" w:line="360"/>
        <w:rPr>
          <w:rFonts w:ascii="宋体" w:hAnsi="宋体"/>
          <w:bCs/>
          <w:sz w:val="24"/>
        </w:rPr>
      </w:pPr>
      <w:r>
        <w:rPr>
          <w:rFonts w:ascii="宋体" w:hAnsi="宋体"/>
          <w:bCs/>
          <w:sz w:val="24"/>
        </w:rPr>
        <w:t xml:space="preserve">3、当特定资产占前</w:t>
      </w:r>
      <w:r>
        <w:rPr>
          <w:rFonts w:ascii="宋体" w:hAnsi="宋体"/>
          <w:bCs/>
          <w:sz w:val="24"/>
        </w:rPr>
        <w:t xml:space="preserve">一估值日集合计划资产净值50%以上的，经与托管人协商确认后，管理人应当暂停估值</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、中国证监会和集合计划合同认定的其它情形。</w:t>
      </w:r>
      <w:r/>
    </w:p>
    <w:p>
      <w:pPr>
        <w:pStyle w:val="369"/>
        <w:ind w:firstLine="480"/>
        <w:snapToGrid w:val="1"/>
        <w:spacing w:lineRule="auto" w:line="360"/>
        <w:rPr>
          <w:rFonts w:ascii="宋体" w:hAnsi="宋体"/>
          <w:bCs/>
          <w:sz w:val="24"/>
        </w:rPr>
      </w:pPr>
      <w:r>
        <w:rPr>
          <w:rFonts w:ascii="宋体" w:hAnsi="宋体"/>
          <w:bCs/>
          <w:sz w:val="24"/>
        </w:rPr>
        <w:t xml:space="preserve">八</w:t>
      </w:r>
      <w:r>
        <w:rPr>
          <w:rFonts w:ascii="宋体" w:hAnsi="宋体"/>
          <w:bCs/>
          <w:sz w:val="24"/>
        </w:rPr>
        <w:t xml:space="preserve">、</w:t>
      </w:r>
      <w:r>
        <w:rPr>
          <w:rFonts w:ascii="宋体" w:hAnsi="宋体"/>
          <w:bCs/>
          <w:sz w:val="24"/>
        </w:rPr>
        <w:t xml:space="preserve">集合计划</w:t>
      </w:r>
      <w:r>
        <w:rPr>
          <w:rFonts w:ascii="宋体" w:hAnsi="宋体"/>
          <w:bCs/>
          <w:sz w:val="24"/>
        </w:rPr>
        <w:t xml:space="preserve">净值的确认</w:t>
      </w:r>
      <w:r/>
    </w:p>
    <w:p>
      <w:pPr>
        <w:pStyle w:val="369"/>
        <w:ind w:firstLine="480"/>
        <w:snapToGrid w:val="1"/>
        <w:spacing w:lineRule="auto" w:line="360"/>
        <w:rPr>
          <w:rFonts w:ascii="宋体" w:hAnsi="宋体"/>
          <w:bCs/>
          <w:sz w:val="24"/>
        </w:rPr>
      </w:pPr>
      <w:r>
        <w:rPr>
          <w:rFonts w:ascii="宋体" w:hAnsi="宋体"/>
          <w:bCs/>
          <w:sz w:val="24"/>
        </w:rPr>
        <w:t xml:space="preserve">集合计划资产净值和集合计划份额净值由管理人负责计算，托管人负责进行复核。管理人应于每个</w:t>
      </w:r>
      <w:r>
        <w:rPr>
          <w:rFonts w:ascii="宋体" w:hAnsi="宋体"/>
          <w:bCs/>
          <w:sz w:val="24"/>
        </w:rPr>
        <w:t xml:space="preserve">开放</w:t>
      </w:r>
      <w:r>
        <w:rPr>
          <w:rFonts w:ascii="宋体" w:hAnsi="宋体"/>
          <w:bCs/>
          <w:sz w:val="24"/>
        </w:rPr>
        <w:t xml:space="preserve">日交易结束后计算当日的集合计划资产净值和集合计划份额净值并发送给托管人。托管人对净值计算结果复核确认后发送给管理人，由管理人按规定对</w:t>
      </w:r>
      <w:r>
        <w:rPr>
          <w:rFonts w:ascii="宋体" w:hAnsi="宋体"/>
          <w:bCs/>
          <w:sz w:val="24"/>
        </w:rPr>
        <w:t xml:space="preserve">集合计划</w:t>
      </w:r>
      <w:r>
        <w:rPr>
          <w:rFonts w:ascii="宋体" w:hAnsi="宋体"/>
          <w:bCs/>
          <w:sz w:val="24"/>
        </w:rPr>
        <w:t xml:space="preserve">净值予以公布。</w:t>
      </w:r>
      <w:r/>
    </w:p>
    <w:p>
      <w:pPr>
        <w:pStyle w:val="369"/>
        <w:ind w:firstLine="480"/>
        <w:snapToGrid w:val="1"/>
        <w:spacing w:lineRule="auto" w:line="360"/>
        <w:rPr>
          <w:rFonts w:ascii="宋体" w:hAnsi="宋体"/>
          <w:bCs/>
          <w:sz w:val="24"/>
        </w:rPr>
      </w:pPr>
      <w:r>
        <w:rPr>
          <w:rFonts w:ascii="宋体" w:hAnsi="宋体"/>
          <w:bCs/>
          <w:sz w:val="24"/>
        </w:rPr>
        <w:t xml:space="preserve">九、实施侧袋机制期间的集合计划资产估值</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本集合计划实施侧袋机制的，应根据本部分</w:t>
      </w:r>
      <w:r>
        <w:rPr>
          <w:rFonts w:ascii="宋体" w:hAnsi="宋体"/>
          <w:bCs/>
          <w:sz w:val="24"/>
        </w:rPr>
        <w:t xml:space="preserve">的约定对主袋账户资产进行估值并披露主袋账户的集合计划净值信息，暂停披露侧袋账户份额净值。</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r>
      <w:r/>
    </w:p>
    <w:p>
      <w:pPr>
        <w:pStyle w:val="370"/>
        <w:jc w:val="center"/>
        <w:snapToGrid w:val="1"/>
        <w:spacing w:after="0" w:before="0"/>
        <w:rPr>
          <w:rFonts w:hAnsi="宋体"/>
          <w:color w:val="000000"/>
          <w:sz w:val="30"/>
        </w:rPr>
      </w:pPr>
      <w:r>
        <w:rPr>
          <w:rFonts w:hAnsi="宋体"/>
          <w:b w:val="false"/>
          <w:bCs/>
          <w:color w:val="000000"/>
          <w:sz w:val="30"/>
        </w:rPr>
        <w:br w:type="page"/>
      </w:r>
      <w:bookmarkStart w:id="304" w:name="_Toc15779"/>
      <w:r/>
      <w:bookmarkStart w:id="305" w:name="_Toc12105"/>
      <w:r/>
      <w:bookmarkStart w:id="306" w:name="_Toc19752"/>
      <w:r/>
      <w:bookmarkStart w:id="307" w:name="_Toc13987"/>
      <w:r/>
      <w:bookmarkStart w:id="308" w:name="_Toc19706"/>
      <w:r/>
      <w:bookmarkStart w:id="309" w:name="_Toc24601"/>
      <w:r/>
      <w:bookmarkStart w:id="310" w:name="_Toc32227"/>
      <w:r/>
      <w:bookmarkStart w:id="311" w:name="_Toc3365"/>
      <w:r/>
      <w:bookmarkStart w:id="312" w:name="_Toc32041"/>
      <w:r/>
      <w:bookmarkStart w:id="313" w:name="_Toc58146346"/>
      <w:r>
        <w:rPr>
          <w:rFonts w:hAnsi="宋体"/>
          <w:color w:val="000000"/>
          <w:sz w:val="30"/>
        </w:rPr>
        <w:t xml:space="preserve">第十</w:t>
      </w:r>
      <w:r>
        <w:rPr>
          <w:rFonts w:hAnsi="宋体"/>
          <w:color w:val="000000"/>
          <w:sz w:val="30"/>
        </w:rPr>
        <w:t xml:space="preserve">五</w:t>
      </w:r>
      <w:r>
        <w:rPr>
          <w:rFonts w:hAnsi="宋体"/>
          <w:color w:val="000000"/>
          <w:sz w:val="30"/>
        </w:rPr>
        <w:t xml:space="preserve">部分  </w:t>
      </w:r>
      <w:r>
        <w:rPr>
          <w:rFonts w:hAnsi="宋体"/>
          <w:color w:val="000000"/>
          <w:sz w:val="30"/>
        </w:rPr>
        <w:t xml:space="preserve">集合计划</w:t>
      </w:r>
      <w:r>
        <w:rPr>
          <w:rFonts w:hAnsi="宋体"/>
          <w:color w:val="000000"/>
          <w:sz w:val="30"/>
        </w:rPr>
        <w:t xml:space="preserve">费用与税收</w:t>
      </w:r>
      <w:bookmarkEnd w:id="300"/>
      <w:r/>
      <w:bookmarkEnd w:id="301"/>
      <w:r/>
      <w:bookmarkEnd w:id="302"/>
      <w:r/>
      <w:bookmarkEnd w:id="304"/>
      <w:r/>
      <w:bookmarkEnd w:id="305"/>
      <w:r/>
      <w:bookmarkEnd w:id="306"/>
      <w:r/>
      <w:bookmarkEnd w:id="307"/>
      <w:r/>
      <w:bookmarkEnd w:id="308"/>
      <w:r/>
      <w:bookmarkEnd w:id="309"/>
      <w:r/>
      <w:bookmarkEnd w:id="310"/>
      <w:r/>
      <w:bookmarkEnd w:id="311"/>
      <w:r/>
      <w:bookmarkEnd w:id="312"/>
      <w:r/>
      <w:bookmarkEnd w:id="313"/>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w:t>
      </w:r>
      <w:r>
        <w:rPr>
          <w:rFonts w:ascii="宋体" w:hAnsi="宋体"/>
          <w:bCs/>
          <w:sz w:val="24"/>
        </w:rPr>
        <w:t xml:space="preserve">集合计划</w:t>
      </w:r>
      <w:r>
        <w:rPr>
          <w:rFonts w:ascii="宋体" w:hAnsi="宋体"/>
          <w:bCs/>
          <w:sz w:val="24"/>
        </w:rPr>
        <w:t xml:space="preserve">费用的种类</w:t>
      </w:r>
      <w:r/>
    </w:p>
    <w:p>
      <w:pPr>
        <w:pStyle w:val="369"/>
        <w:ind w:firstLine="480"/>
        <w:snapToGrid w:val="1"/>
        <w:spacing w:lineRule="auto" w:line="360"/>
        <w:rPr>
          <w:rFonts w:ascii="宋体" w:hAnsi="宋体"/>
          <w:bCs/>
          <w:sz w:val="24"/>
        </w:rPr>
      </w:pPr>
      <w:r>
        <w:rPr>
          <w:rFonts w:ascii="宋体" w:hAnsi="宋体"/>
          <w:bCs/>
          <w:sz w:val="24"/>
        </w:rPr>
        <w:t xml:space="preserve">1、管理人的管理费；</w:t>
      </w:r>
      <w:r/>
    </w:p>
    <w:p>
      <w:pPr>
        <w:pStyle w:val="369"/>
        <w:ind w:firstLine="480"/>
        <w:snapToGrid w:val="1"/>
        <w:spacing w:lineRule="auto" w:line="360"/>
        <w:rPr>
          <w:rFonts w:ascii="宋体" w:hAnsi="宋体"/>
          <w:bCs/>
          <w:sz w:val="24"/>
        </w:rPr>
      </w:pPr>
      <w:r>
        <w:rPr>
          <w:rFonts w:ascii="宋体" w:hAnsi="宋体"/>
          <w:bCs/>
          <w:sz w:val="24"/>
        </w:rPr>
        <w:t xml:space="preserve">2、托管人的托管费；</w:t>
      </w:r>
      <w:r/>
    </w:p>
    <w:p>
      <w:pPr>
        <w:pStyle w:val="369"/>
        <w:ind w:firstLine="480"/>
        <w:snapToGrid w:val="1"/>
        <w:spacing w:lineRule="auto" w:line="360"/>
        <w:rPr>
          <w:rFonts w:ascii="宋体" w:hAnsi="宋体"/>
          <w:bCs/>
          <w:sz w:val="24"/>
        </w:rPr>
      </w:pPr>
      <w:r>
        <w:rPr>
          <w:rFonts w:ascii="宋体" w:hAnsi="宋体"/>
          <w:bCs/>
          <w:sz w:val="24"/>
        </w:rPr>
        <w:t xml:space="preserve">3、《集合计划合同》生效后与</w:t>
      </w:r>
      <w:r>
        <w:rPr>
          <w:rFonts w:ascii="宋体" w:hAnsi="宋体"/>
          <w:bCs/>
          <w:sz w:val="24"/>
        </w:rPr>
        <w:t xml:space="preserve">集合计划</w:t>
      </w:r>
      <w:r>
        <w:rPr>
          <w:rFonts w:ascii="宋体" w:hAnsi="宋体"/>
          <w:bCs/>
          <w:sz w:val="24"/>
        </w:rPr>
        <w:t xml:space="preserve">相关的信息披露费用；</w:t>
      </w:r>
      <w:r/>
    </w:p>
    <w:p>
      <w:pPr>
        <w:pStyle w:val="369"/>
        <w:ind w:firstLine="480"/>
        <w:snapToGrid w:val="1"/>
        <w:spacing w:lineRule="auto" w:line="360"/>
        <w:rPr>
          <w:rFonts w:ascii="宋体" w:hAnsi="宋体"/>
          <w:bCs/>
          <w:sz w:val="24"/>
        </w:rPr>
      </w:pPr>
      <w:r>
        <w:rPr>
          <w:rFonts w:ascii="宋体" w:hAnsi="宋体"/>
          <w:bCs/>
          <w:sz w:val="24"/>
        </w:rPr>
        <w:t xml:space="preserve">4、《集合计划合同》生效后与</w:t>
      </w:r>
      <w:r>
        <w:rPr>
          <w:rFonts w:ascii="宋体" w:hAnsi="宋体"/>
          <w:bCs/>
          <w:sz w:val="24"/>
        </w:rPr>
        <w:t xml:space="preserve">集合计划</w:t>
      </w:r>
      <w:r>
        <w:rPr>
          <w:rFonts w:ascii="宋体" w:hAnsi="宋体"/>
          <w:bCs/>
          <w:sz w:val="24"/>
        </w:rPr>
        <w:t xml:space="preserve">相关的会计师费、律师费和诉讼费、</w:t>
      </w:r>
      <w:r>
        <w:rPr>
          <w:rFonts w:ascii="宋体" w:hAnsi="宋体"/>
          <w:bCs/>
          <w:sz w:val="24"/>
        </w:rPr>
        <w:t xml:space="preserve">仲裁费等</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5、集合计划份额持有人大会费用；</w:t>
      </w:r>
      <w:r/>
    </w:p>
    <w:p>
      <w:pPr>
        <w:pStyle w:val="369"/>
        <w:ind w:firstLine="480"/>
        <w:snapToGrid w:val="1"/>
        <w:spacing w:lineRule="auto" w:line="360"/>
        <w:rPr>
          <w:rFonts w:ascii="宋体" w:hAnsi="宋体"/>
          <w:bCs/>
          <w:sz w:val="24"/>
        </w:rPr>
      </w:pPr>
      <w:r>
        <w:rPr>
          <w:rFonts w:ascii="宋体" w:hAnsi="宋体"/>
          <w:bCs/>
          <w:sz w:val="24"/>
        </w:rPr>
        <w:t xml:space="preserve">6、</w:t>
      </w:r>
      <w:r>
        <w:rPr>
          <w:rFonts w:ascii="宋体" w:hAnsi="宋体"/>
          <w:bCs/>
          <w:sz w:val="24"/>
        </w:rPr>
        <w:t xml:space="preserve">集合计划</w:t>
      </w:r>
      <w:r>
        <w:rPr>
          <w:rFonts w:ascii="宋体" w:hAnsi="宋体"/>
          <w:bCs/>
          <w:sz w:val="24"/>
        </w:rPr>
        <w:t xml:space="preserve">的证券</w:t>
      </w:r>
      <w:r>
        <w:rPr>
          <w:rFonts w:ascii="宋体" w:hAnsi="宋体"/>
          <w:bCs/>
          <w:sz w:val="24"/>
        </w:rPr>
        <w:t xml:space="preserve">/期货</w:t>
      </w:r>
      <w:r>
        <w:rPr>
          <w:rFonts w:ascii="宋体" w:hAnsi="宋体"/>
          <w:bCs/>
          <w:sz w:val="24"/>
        </w:rPr>
        <w:t xml:space="preserve">交易费用；</w:t>
      </w:r>
      <w:r/>
    </w:p>
    <w:p>
      <w:pPr>
        <w:pStyle w:val="369"/>
        <w:ind w:firstLine="480"/>
        <w:snapToGrid w:val="1"/>
        <w:spacing w:lineRule="auto" w:line="360"/>
        <w:rPr>
          <w:rFonts w:ascii="宋体" w:hAnsi="宋体"/>
          <w:bCs/>
          <w:sz w:val="24"/>
        </w:rPr>
      </w:pPr>
      <w:r>
        <w:rPr>
          <w:rFonts w:ascii="宋体" w:hAnsi="宋体"/>
          <w:bCs/>
          <w:sz w:val="24"/>
        </w:rPr>
        <w:t xml:space="preserve">7、</w:t>
      </w:r>
      <w:r>
        <w:rPr>
          <w:rFonts w:ascii="宋体" w:hAnsi="宋体"/>
          <w:bCs/>
          <w:sz w:val="24"/>
        </w:rPr>
        <w:t xml:space="preserve">集合计划</w:t>
      </w:r>
      <w:r>
        <w:rPr>
          <w:rFonts w:ascii="宋体" w:hAnsi="宋体"/>
          <w:bCs/>
          <w:sz w:val="24"/>
        </w:rPr>
        <w:t xml:space="preserve">的银行汇划费用；</w:t>
      </w:r>
      <w:r/>
    </w:p>
    <w:p>
      <w:pPr>
        <w:pStyle w:val="369"/>
        <w:ind w:firstLine="480"/>
        <w:snapToGrid w:val="1"/>
        <w:spacing w:lineRule="auto" w:line="360"/>
        <w:rPr>
          <w:rFonts w:ascii="宋体" w:hAnsi="宋体"/>
          <w:bCs/>
          <w:sz w:val="24"/>
        </w:rPr>
      </w:pPr>
      <w:r>
        <w:rPr>
          <w:rFonts w:ascii="宋体" w:hAnsi="宋体"/>
          <w:bCs/>
          <w:sz w:val="24"/>
        </w:rPr>
        <w:t xml:space="preserve">8、</w:t>
      </w:r>
      <w:r>
        <w:rPr>
          <w:rFonts w:ascii="宋体" w:hAnsi="宋体"/>
          <w:bCs/>
          <w:sz w:val="24"/>
        </w:rPr>
        <w:t xml:space="preserve">集合计划的开户费用、账户维护费用；</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9、按照国家有关规定和《集合计划合同</w:t>
      </w:r>
      <w:r>
        <w:rPr>
          <w:rFonts w:ascii="宋体" w:hAnsi="宋体"/>
          <w:bCs/>
          <w:sz w:val="24"/>
        </w:rPr>
        <w:t xml:space="preserve">》约定，可以在</w:t>
      </w:r>
      <w:r>
        <w:rPr>
          <w:rFonts w:ascii="宋体" w:hAnsi="宋体"/>
          <w:bCs/>
          <w:sz w:val="24"/>
        </w:rPr>
        <w:t xml:space="preserve">集合计划</w:t>
      </w:r>
      <w:r>
        <w:rPr>
          <w:rFonts w:ascii="宋体" w:hAnsi="宋体"/>
          <w:bCs/>
          <w:sz w:val="24"/>
        </w:rPr>
        <w:t xml:space="preserve">财产中列支的其他费用。</w:t>
      </w:r>
      <w:r/>
    </w:p>
    <w:p>
      <w:pPr>
        <w:pStyle w:val="369"/>
        <w:ind w:firstLine="480"/>
        <w:snapToGrid w:val="1"/>
        <w:spacing w:lineRule="auto" w:line="360"/>
        <w:rPr>
          <w:rFonts w:ascii="宋体" w:hAnsi="宋体"/>
          <w:bCs/>
          <w:sz w:val="24"/>
        </w:rPr>
      </w:pPr>
      <w:r>
        <w:rPr>
          <w:rFonts w:ascii="宋体" w:hAnsi="宋体"/>
          <w:bCs/>
          <w:sz w:val="24"/>
        </w:rPr>
        <w:t xml:space="preserve">本集合计划终止清算时所发生费用，按实际支出额从集合计划财产中扣除。</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二、</w:t>
      </w:r>
      <w:r>
        <w:rPr>
          <w:rFonts w:ascii="宋体" w:hAnsi="宋体"/>
          <w:bCs/>
          <w:sz w:val="24"/>
        </w:rPr>
        <w:t xml:space="preserve">集合计划</w:t>
      </w:r>
      <w:r>
        <w:rPr>
          <w:rFonts w:ascii="宋体" w:hAnsi="宋体"/>
          <w:bCs/>
          <w:sz w:val="24"/>
        </w:rPr>
        <w:t xml:space="preserve">费用计提方法、计提标准和支付方式</w:t>
      </w:r>
      <w:r/>
    </w:p>
    <w:p>
      <w:pPr>
        <w:pStyle w:val="369"/>
        <w:ind w:firstLine="480"/>
        <w:snapToGrid w:val="1"/>
        <w:spacing w:lineRule="auto" w:line="360"/>
        <w:rPr>
          <w:rFonts w:ascii="宋体" w:hAnsi="宋体"/>
          <w:bCs/>
          <w:sz w:val="24"/>
        </w:rPr>
      </w:pPr>
      <w:r>
        <w:rPr>
          <w:rFonts w:ascii="宋体" w:hAnsi="宋体"/>
          <w:bCs/>
          <w:sz w:val="24"/>
        </w:rPr>
        <w:t xml:space="preserve">1、管理人的管理费</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本集合计划的管理费按前一日集合计划资产净值的</w:t>
      </w:r>
      <w:r>
        <w:rPr>
          <w:rFonts w:ascii="宋体" w:hAnsi="宋体"/>
          <w:bCs/>
          <w:sz w:val="24"/>
        </w:rPr>
        <w:t xml:space="preserve">0.</w:t>
      </w:r>
      <w:r>
        <w:rPr>
          <w:rFonts w:ascii="宋体" w:hAnsi="宋体"/>
          <w:bCs/>
          <w:sz w:val="24"/>
        </w:rPr>
        <w:t xml:space="preserve">8%年费率计提。管理费的计算方法如下：</w:t>
      </w:r>
      <w:r/>
    </w:p>
    <w:p>
      <w:pPr>
        <w:pStyle w:val="369"/>
        <w:ind w:firstLine="480"/>
        <w:snapToGrid w:val="1"/>
        <w:spacing w:lineRule="auto" w:line="360"/>
        <w:rPr>
          <w:rFonts w:ascii="宋体" w:hAnsi="宋体"/>
          <w:bCs/>
          <w:sz w:val="24"/>
        </w:rPr>
      </w:pPr>
      <w:r>
        <w:rPr>
          <w:rFonts w:ascii="宋体" w:hAnsi="宋体"/>
          <w:bCs/>
          <w:sz w:val="24"/>
        </w:rPr>
        <w:t xml:space="preserve">H＝E×</w:t>
      </w:r>
      <w:r>
        <w:rPr>
          <w:rFonts w:ascii="宋体" w:hAnsi="宋体"/>
          <w:bCs/>
          <w:sz w:val="24"/>
        </w:rPr>
        <w:t xml:space="preserve">0.</w:t>
      </w:r>
      <w:r>
        <w:rPr>
          <w:rFonts w:ascii="宋体" w:hAnsi="宋体"/>
          <w:bCs/>
          <w:sz w:val="24"/>
        </w:rPr>
        <w:t xml:space="preserve">8%÷当年天数</w:t>
      </w:r>
      <w:r/>
    </w:p>
    <w:p>
      <w:pPr>
        <w:pStyle w:val="369"/>
        <w:ind w:firstLine="480"/>
        <w:snapToGrid w:val="1"/>
        <w:spacing w:lineRule="auto" w:line="360"/>
        <w:rPr>
          <w:rFonts w:ascii="宋体" w:hAnsi="宋体"/>
          <w:bCs/>
          <w:sz w:val="24"/>
        </w:rPr>
      </w:pPr>
      <w:r>
        <w:rPr>
          <w:rFonts w:ascii="宋体" w:hAnsi="宋体"/>
          <w:bCs/>
          <w:sz w:val="24"/>
        </w:rPr>
        <w:t xml:space="preserve">H为每日应计提的</w:t>
      </w:r>
      <w:r>
        <w:rPr>
          <w:rFonts w:ascii="宋体" w:hAnsi="宋体"/>
          <w:bCs/>
          <w:sz w:val="24"/>
        </w:rPr>
        <w:t xml:space="preserve">集合计划</w:t>
      </w:r>
      <w:r>
        <w:rPr>
          <w:rFonts w:ascii="宋体" w:hAnsi="宋体"/>
          <w:bCs/>
          <w:sz w:val="24"/>
        </w:rPr>
        <w:t xml:space="preserve">管理费</w:t>
      </w:r>
      <w:r/>
    </w:p>
    <w:p>
      <w:pPr>
        <w:pStyle w:val="369"/>
        <w:ind w:firstLine="480"/>
        <w:snapToGrid w:val="1"/>
        <w:spacing w:lineRule="auto" w:line="360"/>
        <w:rPr>
          <w:rFonts w:ascii="宋体" w:hAnsi="宋体"/>
          <w:bCs/>
          <w:sz w:val="24"/>
        </w:rPr>
      </w:pPr>
      <w:r>
        <w:rPr>
          <w:rFonts w:ascii="宋体" w:hAnsi="宋体"/>
          <w:bCs/>
          <w:sz w:val="24"/>
        </w:rPr>
        <w:t xml:space="preserve">E为前一日的集合计划资产净值</w:t>
      </w:r>
      <w:r/>
    </w:p>
    <w:p>
      <w:pPr>
        <w:pStyle w:val="369"/>
        <w:ind w:firstLine="480"/>
        <w:snapToGrid w:val="1"/>
        <w:spacing w:lineRule="auto" w:line="360"/>
        <w:rPr>
          <w:rFonts w:ascii="宋体" w:hAnsi="宋体"/>
          <w:sz w:val="24"/>
          <w:szCs w:val="22"/>
        </w:rPr>
      </w:pPr>
      <w:r>
        <w:rPr>
          <w:rFonts w:ascii="宋体" w:hAnsi="宋体"/>
          <w:sz w:val="24"/>
          <w:szCs w:val="22"/>
        </w:rPr>
        <w:t xml:space="preserve">集合计划管理费每日计提，逐日累计至每月月末，按月支付</w:t>
      </w:r>
      <w:r>
        <w:rPr>
          <w:rFonts w:ascii="宋体" w:hAnsi="宋体"/>
          <w:sz w:val="24"/>
          <w:szCs w:val="24"/>
        </w:rPr>
        <w:t xml:space="preserve">。</w:t>
      </w:r>
      <w:r>
        <w:rPr>
          <w:rFonts w:ascii="宋体" w:hAnsi="宋体"/>
          <w:sz w:val="24"/>
          <w:szCs w:val="22"/>
        </w:rPr>
        <w:t xml:space="preserve">由托管人于次月前5个工作日</w:t>
      </w:r>
      <w:r>
        <w:rPr>
          <w:rFonts w:ascii="宋体" w:hAnsi="宋体"/>
          <w:sz w:val="24"/>
          <w:szCs w:val="24"/>
        </w:rPr>
        <w:t xml:space="preserve">内依管理人指令</w:t>
      </w:r>
      <w:r>
        <w:rPr>
          <w:rFonts w:ascii="宋体" w:hAnsi="宋体"/>
          <w:sz w:val="24"/>
          <w:szCs w:val="22"/>
        </w:rPr>
        <w:t xml:space="preserve">从集合计划财产中一次性支付给管理人。若遇法定节假日、</w:t>
      </w:r>
      <w:r>
        <w:rPr>
          <w:rFonts w:ascii="宋体" w:hAnsi="宋体"/>
          <w:sz w:val="24"/>
          <w:szCs w:val="24"/>
        </w:rPr>
        <w:t xml:space="preserve">休息日等</w:t>
      </w:r>
      <w:r>
        <w:rPr>
          <w:rFonts w:ascii="宋体" w:hAnsi="宋体"/>
          <w:sz w:val="24"/>
          <w:szCs w:val="22"/>
        </w:rPr>
        <w:t xml:space="preserve">，支付日期顺延。</w:t>
      </w:r>
      <w:r/>
    </w:p>
    <w:p>
      <w:pPr>
        <w:pStyle w:val="369"/>
        <w:ind w:firstLine="480"/>
        <w:snapToGrid w:val="1"/>
        <w:spacing w:lineRule="auto" w:line="360"/>
        <w:rPr>
          <w:rFonts w:ascii="宋体" w:hAnsi="宋体"/>
          <w:bCs/>
          <w:sz w:val="24"/>
        </w:rPr>
      </w:pPr>
      <w:r>
        <w:rPr>
          <w:rFonts w:ascii="宋体" w:hAnsi="宋体"/>
          <w:bCs/>
          <w:sz w:val="24"/>
        </w:rPr>
        <w:t xml:space="preserve">2、托管人的托管费</w:t>
      </w:r>
      <w:r/>
    </w:p>
    <w:p>
      <w:pPr>
        <w:pStyle w:val="369"/>
        <w:ind w:firstLine="480"/>
        <w:snapToGrid w:val="1"/>
        <w:spacing w:lineRule="auto" w:line="360"/>
        <w:rPr>
          <w:rFonts w:ascii="宋体" w:hAnsi="宋体"/>
          <w:bCs/>
          <w:sz w:val="24"/>
        </w:rPr>
      </w:pPr>
      <w:r>
        <w:rPr>
          <w:rFonts w:ascii="宋体" w:hAnsi="宋体"/>
          <w:bCs/>
          <w:sz w:val="24"/>
        </w:rPr>
        <w:t xml:space="preserve">本集合计划的托管费按前一日集合计划资产净值的0.</w:t>
      </w:r>
      <w:r>
        <w:rPr>
          <w:rFonts w:ascii="宋体" w:hAnsi="宋体"/>
          <w:bCs/>
          <w:sz w:val="24"/>
        </w:rPr>
        <w:t xml:space="preserve">15</w:t>
      </w:r>
      <w:r>
        <w:rPr>
          <w:rFonts w:ascii="宋体" w:hAnsi="宋体"/>
          <w:bCs/>
          <w:sz w:val="24"/>
        </w:rPr>
        <w:t xml:space="preserve">%的年费率计提。托管费的计算方法如下：</w:t>
      </w:r>
      <w:r/>
    </w:p>
    <w:p>
      <w:pPr>
        <w:pStyle w:val="369"/>
        <w:ind w:firstLine="480"/>
        <w:snapToGrid w:val="1"/>
        <w:spacing w:lineRule="auto" w:line="360"/>
        <w:rPr>
          <w:rFonts w:ascii="宋体" w:hAnsi="宋体"/>
          <w:bCs/>
          <w:sz w:val="24"/>
        </w:rPr>
      </w:pPr>
      <w:r>
        <w:rPr>
          <w:rFonts w:ascii="宋体" w:hAnsi="宋体"/>
          <w:bCs/>
          <w:sz w:val="24"/>
        </w:rPr>
        <w:t xml:space="preserve">H＝E×0</w:t>
      </w:r>
      <w:r>
        <w:rPr>
          <w:rFonts w:ascii="宋体" w:hAnsi="宋体"/>
          <w:bCs/>
          <w:sz w:val="24"/>
        </w:rPr>
        <w:t xml:space="preserve">.15</w:t>
      </w:r>
      <w:r>
        <w:rPr>
          <w:rFonts w:ascii="宋体" w:hAnsi="宋体"/>
          <w:bCs/>
          <w:sz w:val="24"/>
        </w:rPr>
        <w:t xml:space="preserve">%÷当年天数</w:t>
      </w:r>
      <w:r/>
    </w:p>
    <w:p>
      <w:pPr>
        <w:pStyle w:val="369"/>
        <w:ind w:firstLine="480"/>
        <w:snapToGrid w:val="1"/>
        <w:spacing w:lineRule="auto" w:line="360"/>
        <w:rPr>
          <w:rFonts w:ascii="宋体" w:hAnsi="宋体"/>
          <w:bCs/>
          <w:sz w:val="24"/>
        </w:rPr>
      </w:pPr>
      <w:r>
        <w:rPr>
          <w:rFonts w:ascii="宋体" w:hAnsi="宋体"/>
          <w:bCs/>
          <w:sz w:val="24"/>
        </w:rPr>
        <w:t xml:space="preserve">H为每日应计提的</w:t>
      </w:r>
      <w:r>
        <w:rPr>
          <w:rFonts w:ascii="宋体" w:hAnsi="宋体"/>
          <w:bCs/>
          <w:sz w:val="24"/>
        </w:rPr>
        <w:t xml:space="preserve">集合计划</w:t>
      </w:r>
      <w:r>
        <w:rPr>
          <w:rFonts w:ascii="宋体" w:hAnsi="宋体"/>
          <w:bCs/>
          <w:sz w:val="24"/>
        </w:rPr>
        <w:t xml:space="preserve">托管费</w:t>
      </w:r>
      <w:r/>
    </w:p>
    <w:p>
      <w:pPr>
        <w:pStyle w:val="369"/>
        <w:ind w:firstLine="480"/>
        <w:snapToGrid w:val="1"/>
        <w:spacing w:lineRule="auto" w:line="360"/>
        <w:rPr>
          <w:rFonts w:ascii="宋体" w:hAnsi="宋体"/>
          <w:bCs/>
          <w:sz w:val="24"/>
        </w:rPr>
      </w:pPr>
      <w:r>
        <w:rPr>
          <w:rFonts w:ascii="宋体" w:hAnsi="宋体"/>
          <w:bCs/>
          <w:sz w:val="24"/>
        </w:rPr>
        <w:t xml:space="preserve">E为前一日的集合计划资产净值</w:t>
      </w:r>
      <w:r/>
    </w:p>
    <w:p>
      <w:pPr>
        <w:pStyle w:val="369"/>
        <w:ind w:firstLine="480"/>
        <w:snapToGrid w:val="1"/>
        <w:spacing w:lineRule="auto" w:line="360"/>
        <w:rPr>
          <w:rFonts w:ascii="宋体" w:hAnsi="宋体"/>
          <w:sz w:val="24"/>
          <w:szCs w:val="22"/>
        </w:rPr>
      </w:pPr>
      <w:r>
        <w:rPr>
          <w:rFonts w:ascii="宋体" w:hAnsi="宋体"/>
          <w:sz w:val="24"/>
          <w:szCs w:val="22"/>
        </w:rPr>
        <w:t xml:space="preserve">集合计划托管费每日计提，逐日累计至每月月末，按月支付，由托管人于次月前5个工作日内</w:t>
      </w:r>
      <w:r>
        <w:rPr>
          <w:rFonts w:ascii="宋体" w:hAnsi="宋体"/>
          <w:sz w:val="24"/>
          <w:szCs w:val="24"/>
        </w:rPr>
        <w:t xml:space="preserve">以管理人指令</w:t>
      </w:r>
      <w:r>
        <w:rPr>
          <w:rFonts w:ascii="宋体" w:hAnsi="宋体"/>
          <w:sz w:val="24"/>
          <w:szCs w:val="22"/>
        </w:rPr>
        <w:t xml:space="preserve">从集合计划财产中一次性支取。若遇法定节假日、</w:t>
      </w:r>
      <w:r>
        <w:rPr>
          <w:rFonts w:ascii="宋体" w:hAnsi="宋体"/>
          <w:sz w:val="24"/>
          <w:szCs w:val="24"/>
        </w:rPr>
        <w:t xml:space="preserve">休息日等</w:t>
      </w:r>
      <w:r>
        <w:rPr>
          <w:rFonts w:ascii="宋体" w:hAnsi="宋体"/>
          <w:sz w:val="24"/>
          <w:szCs w:val="22"/>
        </w:rPr>
        <w:t xml:space="preserve">，支付日期顺延。</w:t>
      </w:r>
      <w:r/>
    </w:p>
    <w:p>
      <w:pPr>
        <w:pStyle w:val="369"/>
        <w:ind w:firstLine="480"/>
        <w:snapToGrid w:val="1"/>
        <w:spacing w:lineRule="auto" w:line="360"/>
        <w:rPr>
          <w:rFonts w:ascii="宋体" w:hAnsi="宋体"/>
          <w:bCs/>
          <w:sz w:val="24"/>
        </w:rPr>
      </w:pPr>
      <w:r>
        <w:rPr>
          <w:rFonts w:ascii="宋体" w:hAnsi="宋体"/>
          <w:bCs/>
          <w:sz w:val="24"/>
        </w:rPr>
        <w:t xml:space="preserve">上述</w:t>
      </w:r>
      <w:r>
        <w:rPr>
          <w:rFonts w:ascii="宋体" w:hAnsi="宋体"/>
          <w:bCs/>
          <w:sz w:val="24"/>
        </w:rPr>
        <w:t xml:space="preserve">“</w:t>
      </w:r>
      <w:r>
        <w:rPr>
          <w:rFonts w:ascii="宋体" w:hAnsi="宋体"/>
          <w:bCs/>
          <w:sz w:val="24"/>
        </w:rPr>
        <w:t xml:space="preserve">一、</w:t>
      </w:r>
      <w:r>
        <w:rPr>
          <w:rFonts w:ascii="宋体" w:hAnsi="宋体"/>
          <w:bCs/>
          <w:sz w:val="24"/>
        </w:rPr>
        <w:t xml:space="preserve">集合计划</w:t>
      </w:r>
      <w:r>
        <w:rPr>
          <w:rFonts w:ascii="宋体" w:hAnsi="宋体"/>
          <w:bCs/>
          <w:sz w:val="24"/>
        </w:rPr>
        <w:t xml:space="preserve">费用的种类</w:t>
      </w:r>
      <w:r>
        <w:rPr>
          <w:rFonts w:ascii="宋体" w:hAnsi="宋体"/>
          <w:bCs/>
          <w:sz w:val="24"/>
        </w:rPr>
        <w:t xml:space="preserve">”</w:t>
      </w:r>
      <w:r>
        <w:rPr>
          <w:rFonts w:ascii="宋体" w:hAnsi="宋体"/>
          <w:bCs/>
          <w:sz w:val="24"/>
        </w:rPr>
        <w:t xml:space="preserve">中第3－</w:t>
      </w:r>
      <w:r>
        <w:rPr>
          <w:rFonts w:ascii="宋体" w:hAnsi="宋体"/>
          <w:bCs/>
          <w:sz w:val="24"/>
        </w:rPr>
        <w:t xml:space="preserve">9</w:t>
      </w:r>
      <w:r>
        <w:rPr>
          <w:rFonts w:ascii="宋体" w:hAnsi="宋体"/>
          <w:bCs/>
          <w:sz w:val="24"/>
        </w:rPr>
        <w:t xml:space="preserve">项费用，根据有关法规及相应协议规定，按费用实际支出金额列入当期费用，由托管人从</w:t>
      </w:r>
      <w:r>
        <w:rPr>
          <w:rFonts w:ascii="宋体" w:hAnsi="宋体"/>
          <w:bCs/>
          <w:sz w:val="24"/>
        </w:rPr>
        <w:t xml:space="preserve">集合计划</w:t>
      </w:r>
      <w:r>
        <w:rPr>
          <w:rFonts w:ascii="宋体" w:hAnsi="宋体"/>
          <w:bCs/>
          <w:sz w:val="24"/>
        </w:rPr>
        <w:t xml:space="preserve">财产中支付。</w:t>
      </w:r>
      <w:r/>
    </w:p>
    <w:p>
      <w:pPr>
        <w:pStyle w:val="369"/>
        <w:ind w:firstLine="480"/>
        <w:snapToGrid w:val="1"/>
        <w:spacing w:lineRule="auto" w:line="360"/>
        <w:rPr>
          <w:rFonts w:ascii="宋体" w:hAnsi="宋体"/>
          <w:bCs/>
          <w:sz w:val="24"/>
        </w:rPr>
      </w:pPr>
      <w:r>
        <w:rPr>
          <w:rFonts w:ascii="宋体" w:hAnsi="宋体"/>
          <w:bCs/>
          <w:sz w:val="24"/>
        </w:rPr>
        <w:t xml:space="preserve">三、不列入</w:t>
      </w:r>
      <w:r>
        <w:rPr>
          <w:rFonts w:ascii="宋体" w:hAnsi="宋体"/>
          <w:bCs/>
          <w:sz w:val="24"/>
        </w:rPr>
        <w:t xml:space="preserve">集合计划</w:t>
      </w:r>
      <w:r>
        <w:rPr>
          <w:rFonts w:ascii="宋体" w:hAnsi="宋体"/>
          <w:bCs/>
          <w:sz w:val="24"/>
        </w:rPr>
        <w:t xml:space="preserve">费用的项目</w:t>
      </w:r>
      <w:r/>
    </w:p>
    <w:p>
      <w:pPr>
        <w:pStyle w:val="369"/>
        <w:ind w:firstLine="480"/>
        <w:snapToGrid w:val="1"/>
        <w:spacing w:lineRule="auto" w:line="360"/>
        <w:rPr>
          <w:rFonts w:ascii="宋体" w:hAnsi="宋体"/>
          <w:bCs/>
          <w:sz w:val="24"/>
        </w:rPr>
      </w:pPr>
      <w:r>
        <w:rPr>
          <w:rFonts w:ascii="宋体" w:hAnsi="宋体"/>
          <w:bCs/>
          <w:sz w:val="24"/>
        </w:rPr>
        <w:t xml:space="preserve">下列费用不列入</w:t>
      </w:r>
      <w:r>
        <w:rPr>
          <w:rFonts w:ascii="宋体" w:hAnsi="宋体"/>
          <w:bCs/>
          <w:sz w:val="24"/>
        </w:rPr>
        <w:t xml:space="preserve">集合计划</w:t>
      </w:r>
      <w:r>
        <w:rPr>
          <w:rFonts w:ascii="宋体" w:hAnsi="宋体"/>
          <w:bCs/>
          <w:sz w:val="24"/>
        </w:rPr>
        <w:t xml:space="preserve">费用：</w:t>
      </w:r>
      <w:r/>
    </w:p>
    <w:p>
      <w:pPr>
        <w:pStyle w:val="369"/>
        <w:ind w:firstLine="480"/>
        <w:snapToGrid w:val="1"/>
        <w:spacing w:lineRule="auto" w:line="360"/>
        <w:rPr>
          <w:rFonts w:ascii="宋体" w:hAnsi="宋体"/>
          <w:bCs/>
          <w:sz w:val="24"/>
        </w:rPr>
      </w:pPr>
      <w:r>
        <w:rPr>
          <w:rFonts w:ascii="宋体" w:hAnsi="宋体"/>
          <w:bCs/>
          <w:sz w:val="24"/>
        </w:rPr>
        <w:t xml:space="preserve">1、管理人和托管人因未履行或未完全履行义务导致的费用支出或</w:t>
      </w:r>
      <w:r>
        <w:rPr>
          <w:rFonts w:ascii="宋体" w:hAnsi="宋体"/>
          <w:bCs/>
          <w:sz w:val="24"/>
        </w:rPr>
        <w:t xml:space="preserve">集合计划</w:t>
      </w:r>
      <w:r>
        <w:rPr>
          <w:rFonts w:ascii="宋体" w:hAnsi="宋体"/>
          <w:bCs/>
          <w:sz w:val="24"/>
        </w:rPr>
        <w:t xml:space="preserve">财产的损失；</w:t>
      </w:r>
      <w:r/>
    </w:p>
    <w:p>
      <w:pPr>
        <w:pStyle w:val="369"/>
        <w:ind w:firstLine="480"/>
        <w:snapToGrid w:val="1"/>
        <w:spacing w:lineRule="auto" w:line="360"/>
        <w:rPr>
          <w:rFonts w:ascii="宋体" w:hAnsi="宋体"/>
          <w:bCs/>
          <w:sz w:val="24"/>
        </w:rPr>
      </w:pPr>
      <w:r>
        <w:rPr>
          <w:rFonts w:ascii="宋体" w:hAnsi="宋体"/>
          <w:bCs/>
          <w:sz w:val="24"/>
        </w:rPr>
        <w:t xml:space="preserve">2、管理人和托管人处理与</w:t>
      </w:r>
      <w:r>
        <w:rPr>
          <w:rFonts w:ascii="宋体" w:hAnsi="宋体"/>
          <w:bCs/>
          <w:sz w:val="24"/>
        </w:rPr>
        <w:t xml:space="preserve">集合计划</w:t>
      </w:r>
      <w:r>
        <w:rPr>
          <w:rFonts w:ascii="宋体" w:hAnsi="宋体"/>
          <w:bCs/>
          <w:sz w:val="24"/>
        </w:rPr>
        <w:t xml:space="preserve">运作无关的事项发生的费用；</w:t>
      </w:r>
      <w:r/>
    </w:p>
    <w:p>
      <w:pPr>
        <w:pStyle w:val="369"/>
        <w:ind w:firstLine="480"/>
        <w:snapToGrid w:val="1"/>
        <w:spacing w:lineRule="auto" w:line="360"/>
        <w:rPr>
          <w:rFonts w:ascii="宋体" w:hAnsi="宋体"/>
          <w:bCs/>
          <w:sz w:val="24"/>
        </w:rPr>
      </w:pPr>
      <w:r>
        <w:rPr>
          <w:rFonts w:ascii="宋体" w:hAnsi="宋体"/>
          <w:bCs/>
          <w:sz w:val="24"/>
        </w:rPr>
        <w:t xml:space="preserve">3、《集合计划合同》生效前的相关费用</w:t>
      </w:r>
      <w:r>
        <w:rPr>
          <w:rFonts w:ascii="宋体" w:hAnsi="宋体"/>
          <w:bCs/>
          <w:sz w:val="24"/>
        </w:rPr>
        <w:t xml:space="preserve">，</w:t>
      </w:r>
      <w:r>
        <w:rPr>
          <w:rFonts w:ascii="宋体" w:hAnsi="宋体"/>
          <w:sz w:val="24"/>
        </w:rPr>
        <w:t xml:space="preserve">根据</w:t>
      </w:r>
      <w:r>
        <w:rPr>
          <w:rFonts w:ascii="宋体" w:hAnsi="宋体"/>
          <w:sz w:val="24"/>
        </w:rPr>
        <w:t xml:space="preserve">《东海证券东风9号集合资产管理计划合同》约定执行</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4、其他根据相关法律法规及中国证监会的有关规定不得列入</w:t>
      </w:r>
      <w:r>
        <w:rPr>
          <w:rFonts w:ascii="宋体" w:hAnsi="宋体"/>
          <w:bCs/>
          <w:sz w:val="24"/>
        </w:rPr>
        <w:t xml:space="preserve">集合计划</w:t>
      </w:r>
      <w:r>
        <w:rPr>
          <w:rFonts w:ascii="宋体" w:hAnsi="宋体"/>
          <w:bCs/>
          <w:sz w:val="24"/>
        </w:rPr>
        <w:t xml:space="preserve">费用的项目。</w:t>
      </w:r>
      <w:bookmarkStart w:id="314" w:name="_Hlt88827255"/>
      <w:r/>
      <w:bookmarkEnd w:id="314"/>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四、</w:t>
      </w:r>
      <w:r>
        <w:rPr>
          <w:rFonts w:ascii="宋体" w:hAnsi="宋体"/>
          <w:bCs/>
          <w:sz w:val="24"/>
        </w:rPr>
        <w:t xml:space="preserve">实施侧袋机制期间的集合计划费用</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本集合计划实施侧袋机制的，与侧袋账户有关的费用可以从侧袋账户中列支，但应待侧袋账户资产变现后</w:t>
      </w:r>
      <w:r>
        <w:rPr>
          <w:rFonts w:ascii="宋体" w:hAnsi="宋体"/>
          <w:bCs/>
          <w:sz w:val="24"/>
        </w:rPr>
        <w:t xml:space="preserve">方可列支，有关费用可酌情收取或减免，但不得收取管理费，详见招募说明书的规定。</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五、集合计划</w:t>
      </w:r>
      <w:r>
        <w:rPr>
          <w:rFonts w:ascii="宋体" w:hAnsi="宋体"/>
          <w:bCs/>
          <w:sz w:val="24"/>
        </w:rPr>
        <w:t xml:space="preserve">税收</w:t>
      </w:r>
      <w:r/>
    </w:p>
    <w:p>
      <w:pPr>
        <w:pStyle w:val="369"/>
        <w:ind w:firstLine="480"/>
        <w:snapToGrid w:val="1"/>
        <w:spacing w:lineRule="auto" w:line="360"/>
        <w:rPr>
          <w:rFonts w:ascii="宋体" w:hAnsi="宋体"/>
          <w:bCs/>
          <w:sz w:val="24"/>
        </w:rPr>
      </w:pPr>
      <w:r>
        <w:rPr>
          <w:rFonts w:ascii="宋体" w:hAnsi="宋体"/>
          <w:bCs/>
          <w:sz w:val="24"/>
        </w:rPr>
        <w:t xml:space="preserve">本集合计划运作过程中涉及的各纳税主体，其纳税义务按国家税收法律、法规执行。</w:t>
      </w:r>
      <w:r>
        <w:rPr>
          <w:rFonts w:ascii="宋体" w:hAnsi="宋体"/>
          <w:bCs/>
          <w:sz w:val="24"/>
        </w:rPr>
        <w:t xml:space="preserve">集合计划</w:t>
      </w:r>
      <w:r>
        <w:rPr>
          <w:rFonts w:ascii="宋体" w:hAnsi="宋体"/>
          <w:bCs/>
          <w:sz w:val="24"/>
        </w:rPr>
        <w:t xml:space="preserve">财产投资的相关税收，由集合计划份额持有人承担，管理人或者其他扣缴义务人按照国家有关税收征收的规定代扣代缴。</w:t>
      </w:r>
      <w:r/>
    </w:p>
    <w:p>
      <w:pPr>
        <w:pStyle w:val="370"/>
        <w:jc w:val="center"/>
        <w:snapToGrid w:val="1"/>
        <w:spacing w:after="0" w:before="0"/>
        <w:rPr>
          <w:rFonts w:hAnsi="宋体"/>
          <w:color w:val="000000"/>
          <w:sz w:val="30"/>
        </w:rPr>
      </w:pPr>
      <w:r/>
      <w:bookmarkStart w:id="315" w:name="_Toc92662707"/>
      <w:r/>
      <w:bookmarkStart w:id="316" w:name="_Toc93226149"/>
      <w:r/>
      <w:bookmarkStart w:id="317" w:name="_Toc128310499"/>
      <w:r/>
      <w:bookmarkStart w:id="318" w:name="_Toc139991746"/>
      <w:r/>
      <w:bookmarkStart w:id="319" w:name="_Toc141703896"/>
      <w:r/>
      <w:bookmarkStart w:id="320" w:name="_Toc22552"/>
      <w:r>
        <w:rPr>
          <w:rFonts w:hAnsi="宋体"/>
          <w:color w:val="000000"/>
          <w:sz w:val="30"/>
        </w:rPr>
        <w:br w:type="page"/>
      </w:r>
      <w:bookmarkStart w:id="321" w:name="_Toc19558"/>
      <w:r/>
      <w:bookmarkStart w:id="322" w:name="_Toc15525"/>
      <w:r/>
      <w:bookmarkStart w:id="323" w:name="_Toc3656"/>
      <w:r/>
      <w:bookmarkStart w:id="324" w:name="_Toc25883"/>
      <w:r/>
      <w:bookmarkStart w:id="325" w:name="_Toc178"/>
      <w:r/>
      <w:bookmarkStart w:id="326" w:name="_Toc12761"/>
      <w:r/>
      <w:bookmarkStart w:id="327" w:name="_Toc20052"/>
      <w:r/>
      <w:bookmarkStart w:id="328" w:name="_Toc1617"/>
      <w:r/>
      <w:bookmarkStart w:id="329" w:name="_Toc21829"/>
      <w:r/>
      <w:bookmarkStart w:id="330" w:name="_Toc58146347"/>
      <w:r>
        <w:rPr>
          <w:rFonts w:hAnsi="宋体"/>
          <w:color w:val="000000"/>
          <w:sz w:val="30"/>
        </w:rPr>
        <w:t xml:space="preserve">第十</w:t>
      </w:r>
      <w:r>
        <w:rPr>
          <w:rFonts w:hAnsi="宋体"/>
          <w:color w:val="000000"/>
          <w:sz w:val="30"/>
        </w:rPr>
        <w:t xml:space="preserve">六</w:t>
      </w:r>
      <w:r>
        <w:rPr>
          <w:rFonts w:hAnsi="宋体"/>
          <w:color w:val="000000"/>
          <w:sz w:val="30"/>
        </w:rPr>
        <w:t xml:space="preserve">部分  </w:t>
      </w:r>
      <w:r>
        <w:rPr>
          <w:rFonts w:hAnsi="宋体"/>
          <w:color w:val="000000"/>
          <w:sz w:val="30"/>
        </w:rPr>
        <w:t xml:space="preserve">集合计划</w:t>
      </w:r>
      <w:bookmarkEnd w:id="315"/>
      <w:r/>
      <w:bookmarkEnd w:id="316"/>
      <w:r>
        <w:rPr>
          <w:rFonts w:hAnsi="宋体"/>
          <w:color w:val="000000"/>
          <w:sz w:val="30"/>
        </w:rPr>
        <w:t xml:space="preserve">的收益与分配</w:t>
      </w:r>
      <w:bookmarkEnd w:id="317"/>
      <w:r/>
      <w:bookmarkEnd w:id="318"/>
      <w:r/>
      <w:bookmarkEnd w:id="319"/>
      <w:r/>
      <w:bookmarkEnd w:id="320"/>
      <w:r/>
      <w:bookmarkEnd w:id="321"/>
      <w:r/>
      <w:bookmarkEnd w:id="322"/>
      <w:r/>
      <w:bookmarkEnd w:id="323"/>
      <w:r/>
      <w:bookmarkEnd w:id="324"/>
      <w:r/>
      <w:bookmarkEnd w:id="325"/>
      <w:r/>
      <w:bookmarkEnd w:id="326"/>
      <w:r/>
      <w:bookmarkEnd w:id="327"/>
      <w:r/>
      <w:bookmarkEnd w:id="328"/>
      <w:r/>
      <w:bookmarkEnd w:id="329"/>
      <w:r/>
      <w:bookmarkEnd w:id="330"/>
      <w:r>
        <w:rPr>
          <w:rFonts w:hAnsi="宋体"/>
          <w:color w:val="000000"/>
          <w:sz w:val="30"/>
        </w:rPr>
      </w:r>
      <w:r/>
    </w:p>
    <w:p>
      <w:pPr>
        <w:pStyle w:val="369"/>
        <w:snapToGrid w:val="1"/>
        <w:rPr>
          <w:rFonts w:ascii="宋体" w:hAnsi="宋体"/>
          <w:bCs/>
        </w:rPr>
      </w:pPr>
      <w:r>
        <w:rPr>
          <w:rFonts w:ascii="宋体" w:hAnsi="宋体"/>
          <w:bCs/>
        </w:rPr>
      </w:r>
      <w:r/>
    </w:p>
    <w:p>
      <w:pPr>
        <w:pStyle w:val="369"/>
        <w:ind w:firstLine="540"/>
        <w:snapToGrid w:val="1"/>
        <w:spacing w:lineRule="auto" w:line="360"/>
        <w:rPr>
          <w:rFonts w:ascii="宋体" w:hAnsi="宋体"/>
          <w:bCs/>
          <w:sz w:val="24"/>
        </w:rPr>
      </w:pPr>
      <w:r>
        <w:rPr>
          <w:rFonts w:ascii="宋体" w:hAnsi="宋体"/>
          <w:bCs/>
          <w:sz w:val="24"/>
        </w:rPr>
        <w:t xml:space="preserve">一、</w:t>
      </w:r>
      <w:r>
        <w:rPr>
          <w:rFonts w:ascii="宋体" w:hAnsi="宋体"/>
          <w:bCs/>
          <w:sz w:val="24"/>
        </w:rPr>
        <w:t xml:space="preserve">集合计划</w:t>
      </w:r>
      <w:r>
        <w:rPr>
          <w:rFonts w:ascii="宋体" w:hAnsi="宋体"/>
          <w:bCs/>
          <w:sz w:val="24"/>
        </w:rPr>
        <w:t xml:space="preserve">利润的构成</w:t>
      </w:r>
      <w:r/>
    </w:p>
    <w:p>
      <w:pPr>
        <w:pStyle w:val="369"/>
        <w:ind w:firstLine="54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利润指</w:t>
      </w:r>
      <w:r>
        <w:rPr>
          <w:rFonts w:ascii="宋体" w:hAnsi="宋体"/>
          <w:bCs/>
          <w:sz w:val="24"/>
        </w:rPr>
        <w:t xml:space="preserve">集合计划</w:t>
      </w:r>
      <w:r>
        <w:rPr>
          <w:rFonts w:ascii="宋体" w:hAnsi="宋体"/>
          <w:bCs/>
          <w:sz w:val="24"/>
        </w:rPr>
        <w:t xml:space="preserve">利息收入、投资收益、公允价值变动收益和其他收入扣除相关费用后的余额，</w:t>
      </w:r>
      <w:r>
        <w:rPr>
          <w:rFonts w:ascii="宋体" w:hAnsi="宋体"/>
          <w:bCs/>
          <w:sz w:val="24"/>
        </w:rPr>
        <w:t xml:space="preserve">集合计划</w:t>
      </w:r>
      <w:r>
        <w:rPr>
          <w:rFonts w:ascii="宋体" w:hAnsi="宋体"/>
          <w:bCs/>
          <w:sz w:val="24"/>
        </w:rPr>
        <w:t xml:space="preserve">已实现收益指</w:t>
      </w:r>
      <w:r>
        <w:rPr>
          <w:rFonts w:ascii="宋体" w:hAnsi="宋体"/>
          <w:bCs/>
          <w:sz w:val="24"/>
        </w:rPr>
        <w:t xml:space="preserve">集合计划</w:t>
      </w:r>
      <w:r>
        <w:rPr>
          <w:rFonts w:ascii="宋体" w:hAnsi="宋体"/>
          <w:bCs/>
          <w:sz w:val="24"/>
        </w:rPr>
        <w:t xml:space="preserve">利润减去公允价值变动收益后的余额。</w:t>
      </w:r>
      <w:r/>
    </w:p>
    <w:p>
      <w:pPr>
        <w:pStyle w:val="369"/>
        <w:ind w:firstLine="540"/>
        <w:snapToGrid w:val="1"/>
        <w:spacing w:lineRule="auto" w:line="360"/>
        <w:rPr>
          <w:rFonts w:ascii="宋体" w:hAnsi="宋体"/>
          <w:bCs/>
          <w:sz w:val="24"/>
        </w:rPr>
      </w:pPr>
      <w:r>
        <w:rPr>
          <w:rFonts w:ascii="宋体" w:hAnsi="宋体"/>
          <w:bCs/>
          <w:sz w:val="24"/>
        </w:rPr>
        <w:t xml:space="preserve">二、</w:t>
      </w:r>
      <w:r>
        <w:rPr>
          <w:rFonts w:ascii="宋体" w:hAnsi="宋体"/>
          <w:bCs/>
          <w:sz w:val="24"/>
        </w:rPr>
        <w:t xml:space="preserve">集合</w:t>
      </w:r>
      <w:r>
        <w:rPr>
          <w:rFonts w:ascii="宋体" w:hAnsi="宋体"/>
          <w:bCs/>
          <w:sz w:val="24"/>
        </w:rPr>
        <w:t xml:space="preserve">计划</w:t>
      </w:r>
      <w:r>
        <w:rPr>
          <w:rFonts w:ascii="宋体" w:hAnsi="宋体"/>
          <w:bCs/>
          <w:sz w:val="24"/>
        </w:rPr>
        <w:t xml:space="preserve">可供分配利润</w:t>
      </w:r>
      <w:r/>
    </w:p>
    <w:p>
      <w:pPr>
        <w:pStyle w:val="369"/>
        <w:ind w:firstLine="54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可供分配利润指截至收益分配基准日</w:t>
      </w:r>
      <w:r>
        <w:rPr>
          <w:rFonts w:ascii="宋体" w:hAnsi="宋体"/>
          <w:bCs/>
          <w:sz w:val="24"/>
        </w:rPr>
        <w:t xml:space="preserve">集合计划</w:t>
      </w:r>
      <w:r>
        <w:rPr>
          <w:rFonts w:ascii="宋体" w:hAnsi="宋体"/>
          <w:bCs/>
          <w:sz w:val="24"/>
        </w:rPr>
        <w:t xml:space="preserve">未分配利润与未分配利润中已实现收益的孰低数。</w:t>
      </w:r>
      <w:r/>
    </w:p>
    <w:p>
      <w:pPr>
        <w:pStyle w:val="369"/>
        <w:ind w:firstLine="540"/>
        <w:snapToGrid w:val="1"/>
        <w:spacing w:lineRule="auto" w:line="360"/>
        <w:rPr>
          <w:rFonts w:ascii="宋体" w:hAnsi="宋体"/>
          <w:bCs/>
          <w:sz w:val="24"/>
        </w:rPr>
      </w:pPr>
      <w:r>
        <w:rPr>
          <w:rFonts w:ascii="宋体" w:hAnsi="宋体"/>
          <w:bCs/>
          <w:sz w:val="24"/>
        </w:rPr>
        <w:t xml:space="preserve">三、</w:t>
      </w:r>
      <w:r>
        <w:rPr>
          <w:rFonts w:ascii="宋体" w:hAnsi="宋体"/>
          <w:bCs/>
          <w:sz w:val="24"/>
        </w:rPr>
        <w:t xml:space="preserve">集合计划</w:t>
      </w:r>
      <w:r>
        <w:rPr>
          <w:rFonts w:ascii="宋体" w:hAnsi="宋体"/>
          <w:bCs/>
          <w:sz w:val="24"/>
        </w:rPr>
        <w:t xml:space="preserve">收益分配原则</w:t>
      </w:r>
      <w:r/>
    </w:p>
    <w:p>
      <w:pPr>
        <w:pStyle w:val="369"/>
        <w:ind w:firstLine="540"/>
        <w:snapToGrid w:val="1"/>
        <w:spacing w:lineRule="auto" w:line="360"/>
        <w:rPr>
          <w:rFonts w:ascii="宋体" w:hAnsi="宋体"/>
          <w:bCs/>
          <w:sz w:val="24"/>
        </w:rPr>
      </w:pPr>
      <w:r>
        <w:rPr>
          <w:rFonts w:ascii="宋体" w:hAnsi="宋体"/>
          <w:bCs/>
          <w:sz w:val="24"/>
        </w:rPr>
        <w:t xml:space="preserve">1、在符合有关</w:t>
      </w:r>
      <w:r>
        <w:rPr>
          <w:rFonts w:ascii="宋体" w:hAnsi="宋体"/>
          <w:bCs/>
          <w:sz w:val="24"/>
        </w:rPr>
        <w:t xml:space="preserve">集合计划</w:t>
      </w:r>
      <w:r>
        <w:rPr>
          <w:rFonts w:ascii="宋体" w:hAnsi="宋体"/>
          <w:bCs/>
          <w:sz w:val="24"/>
        </w:rPr>
        <w:t xml:space="preserve">分红条件的前提下，</w:t>
      </w:r>
      <w:r>
        <w:rPr>
          <w:rFonts w:ascii="宋体" w:hAnsi="宋体"/>
          <w:sz w:val="24"/>
        </w:rPr>
        <w:t xml:space="preserve">本集合计划</w:t>
      </w:r>
      <w:r>
        <w:rPr>
          <w:rFonts w:ascii="宋体" w:hAnsi="宋体"/>
          <w:bCs/>
          <w:sz w:val="24"/>
        </w:rPr>
        <w:t xml:space="preserve">可以根据实际情况进行收益分配，具体分配方案以公告为准</w:t>
      </w:r>
      <w:r>
        <w:rPr>
          <w:rFonts w:ascii="宋体" w:hAnsi="宋体"/>
          <w:bCs/>
          <w:sz w:val="24"/>
        </w:rPr>
        <w:t xml:space="preserve">；</w:t>
      </w:r>
      <w:r/>
    </w:p>
    <w:p>
      <w:pPr>
        <w:pStyle w:val="369"/>
        <w:ind w:firstLine="540"/>
        <w:snapToGrid w:val="1"/>
        <w:spacing w:lineRule="auto" w:line="360"/>
        <w:rPr>
          <w:rFonts w:ascii="宋体" w:hAnsi="宋体"/>
          <w:bCs/>
          <w:sz w:val="24"/>
        </w:rPr>
      </w:pPr>
      <w:r>
        <w:rPr>
          <w:rFonts w:ascii="宋体" w:hAnsi="宋体"/>
          <w:bCs/>
          <w:sz w:val="24"/>
        </w:rPr>
        <w:t xml:space="preserve">2、本集合计划收益分配方式分两种：现金分红与红利再投资，投资者可选择现金红利或将现金红利自动转为</w:t>
      </w:r>
      <w:r>
        <w:rPr>
          <w:rFonts w:ascii="宋体" w:hAnsi="宋体"/>
          <w:bCs/>
          <w:sz w:val="24"/>
        </w:rPr>
        <w:t xml:space="preserve">集合计划</w:t>
      </w:r>
      <w:r>
        <w:rPr>
          <w:rFonts w:ascii="宋体" w:hAnsi="宋体"/>
          <w:bCs/>
          <w:sz w:val="24"/>
        </w:rPr>
        <w:t xml:space="preserve">份额进行再投资；若投资者不选择，本集合计划默认的收益分配方式是现金分红；</w:t>
      </w:r>
      <w:r/>
    </w:p>
    <w:p>
      <w:pPr>
        <w:pStyle w:val="369"/>
        <w:ind w:firstLine="54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集合计划</w:t>
      </w:r>
      <w:r>
        <w:rPr>
          <w:rFonts w:ascii="宋体" w:hAnsi="宋体"/>
          <w:bCs/>
          <w:sz w:val="24"/>
        </w:rPr>
        <w:t xml:space="preserve">收益分配后集合计划份额净值不能低于面值，即</w:t>
      </w:r>
      <w:r>
        <w:rPr>
          <w:rFonts w:ascii="宋体" w:hAnsi="宋体"/>
          <w:bCs/>
          <w:sz w:val="24"/>
        </w:rPr>
        <w:t xml:space="preserve">集合计划</w:t>
      </w:r>
      <w:r>
        <w:rPr>
          <w:rFonts w:ascii="宋体" w:hAnsi="宋体"/>
          <w:bCs/>
          <w:sz w:val="24"/>
        </w:rPr>
        <w:t xml:space="preserve">收益分配基准日的集合计划份额</w:t>
      </w:r>
      <w:r>
        <w:rPr>
          <w:rFonts w:ascii="宋体" w:hAnsi="宋体"/>
          <w:bCs/>
          <w:sz w:val="24"/>
        </w:rPr>
        <w:t xml:space="preserve">净值减去每单位</w:t>
      </w:r>
      <w:r>
        <w:rPr>
          <w:rFonts w:ascii="宋体" w:hAnsi="宋体"/>
          <w:bCs/>
          <w:sz w:val="24"/>
        </w:rPr>
        <w:t xml:space="preserve">集合计划</w:t>
      </w:r>
      <w:r>
        <w:rPr>
          <w:rFonts w:ascii="宋体" w:hAnsi="宋体"/>
          <w:bCs/>
          <w:sz w:val="24"/>
        </w:rPr>
        <w:t xml:space="preserve">份额收益分配金额后不能低于面值；</w:t>
      </w:r>
      <w:r>
        <w:rPr>
          <w:rFonts w:ascii="宋体" w:hAnsi="宋体"/>
          <w:bCs/>
          <w:sz w:val="24"/>
        </w:rPr>
      </w:r>
      <w:r/>
    </w:p>
    <w:p>
      <w:pPr>
        <w:pStyle w:val="369"/>
        <w:ind w:firstLine="540"/>
        <w:snapToGrid w:val="1"/>
        <w:spacing w:lineRule="auto" w:line="360"/>
        <w:rPr>
          <w:rFonts w:ascii="宋体" w:hAnsi="宋体"/>
          <w:bCs/>
          <w:sz w:val="24"/>
        </w:rPr>
      </w:pPr>
      <w:r>
        <w:rPr>
          <w:rFonts w:ascii="宋体" w:hAnsi="宋体"/>
          <w:bCs/>
          <w:sz w:val="24"/>
        </w:rPr>
        <w:t xml:space="preserve">4、每一</w:t>
      </w:r>
      <w:r>
        <w:rPr>
          <w:rFonts w:ascii="宋体" w:hAnsi="宋体"/>
          <w:bCs/>
          <w:sz w:val="24"/>
        </w:rPr>
        <w:t xml:space="preserve">集合计划</w:t>
      </w:r>
      <w:r>
        <w:rPr>
          <w:rFonts w:ascii="宋体" w:hAnsi="宋体"/>
          <w:bCs/>
          <w:sz w:val="24"/>
        </w:rPr>
        <w:t xml:space="preserve">份额享有同等分配权；</w:t>
      </w:r>
      <w:r/>
    </w:p>
    <w:p>
      <w:pPr>
        <w:pStyle w:val="369"/>
        <w:ind w:firstLine="540"/>
        <w:snapToGrid w:val="1"/>
        <w:spacing w:lineRule="auto" w:line="360"/>
        <w:rPr>
          <w:rFonts w:ascii="宋体" w:hAnsi="宋体"/>
          <w:bCs/>
          <w:sz w:val="24"/>
        </w:rPr>
      </w:pPr>
      <w:r>
        <w:rPr>
          <w:rFonts w:ascii="宋体" w:hAnsi="宋体"/>
          <w:bCs/>
          <w:sz w:val="24"/>
        </w:rPr>
        <w:t xml:space="preserve">5、法律法规或监管机关另有规定的，从其规定。</w:t>
      </w:r>
      <w:r>
        <w:rPr>
          <w:rFonts w:ascii="宋体" w:hAnsi="宋体"/>
          <w:bCs/>
          <w:sz w:val="24"/>
        </w:rPr>
      </w:r>
      <w:r/>
    </w:p>
    <w:p>
      <w:pPr>
        <w:pStyle w:val="369"/>
        <w:ind w:firstLine="540"/>
        <w:snapToGrid w:val="1"/>
        <w:spacing w:lineRule="auto" w:line="360"/>
        <w:rPr>
          <w:rFonts w:ascii="宋体" w:hAnsi="宋体"/>
          <w:bCs/>
          <w:sz w:val="24"/>
        </w:rPr>
      </w:pPr>
      <w:r>
        <w:rPr>
          <w:rFonts w:ascii="宋体" w:hAnsi="宋体"/>
          <w:bCs/>
          <w:sz w:val="24"/>
        </w:rPr>
        <w:t xml:space="preserve">四、收益分配方案</w:t>
      </w:r>
      <w:r/>
    </w:p>
    <w:p>
      <w:pPr>
        <w:pStyle w:val="369"/>
        <w:ind w:firstLine="540"/>
        <w:snapToGrid w:val="1"/>
        <w:spacing w:lineRule="auto" w:line="360"/>
        <w:rPr>
          <w:rFonts w:ascii="宋体" w:hAnsi="宋体"/>
          <w:bCs/>
          <w:sz w:val="24"/>
        </w:rPr>
      </w:pPr>
      <w:r>
        <w:rPr>
          <w:rFonts w:ascii="宋体" w:hAnsi="宋体"/>
          <w:bCs/>
          <w:sz w:val="24"/>
        </w:rPr>
        <w:t xml:space="preserve">收益分配方案中应载明截止收益分配基准日的可供分配利润、收益分配对象、分配时间、分配数额及比例、分配方式等内容。</w:t>
      </w:r>
      <w:r/>
    </w:p>
    <w:p>
      <w:pPr>
        <w:pStyle w:val="369"/>
        <w:ind w:firstLine="540"/>
        <w:snapToGrid w:val="1"/>
        <w:spacing w:lineRule="auto" w:line="360"/>
        <w:rPr>
          <w:rFonts w:ascii="宋体" w:hAnsi="宋体"/>
          <w:bCs/>
          <w:sz w:val="24"/>
        </w:rPr>
      </w:pPr>
      <w:r>
        <w:rPr>
          <w:rFonts w:ascii="宋体" w:hAnsi="宋体"/>
          <w:bCs/>
          <w:sz w:val="24"/>
        </w:rPr>
        <w:t xml:space="preserve">五、收益分配方案的确定、公告与实施</w:t>
      </w:r>
      <w:r>
        <w:rPr>
          <w:rFonts w:ascii="宋体" w:hAnsi="宋体"/>
          <w:bCs/>
          <w:sz w:val="24"/>
        </w:rPr>
      </w:r>
      <w:r/>
    </w:p>
    <w:p>
      <w:pPr>
        <w:pStyle w:val="369"/>
        <w:ind w:firstLine="540"/>
        <w:snapToGrid w:val="1"/>
        <w:spacing w:lineRule="auto" w:line="360"/>
        <w:rPr>
          <w:rFonts w:ascii="宋体" w:hAnsi="宋体"/>
          <w:bCs/>
          <w:sz w:val="24"/>
        </w:rPr>
      </w:pPr>
      <w:r>
        <w:rPr>
          <w:rFonts w:ascii="宋体" w:hAnsi="宋体"/>
          <w:bCs/>
          <w:sz w:val="24"/>
        </w:rPr>
        <w:t xml:space="preserve">本集合计划收益分配方案由管理人拟定，并由托管人复核，在2日内在规定媒介公告。</w:t>
      </w:r>
      <w:r/>
    </w:p>
    <w:p>
      <w:pPr>
        <w:pStyle w:val="369"/>
        <w:ind w:firstLine="540"/>
        <w:snapToGrid w:val="1"/>
        <w:spacing w:lineRule="auto" w:line="360"/>
        <w:rPr>
          <w:rFonts w:ascii="宋体" w:hAnsi="宋体"/>
          <w:bCs/>
          <w:sz w:val="24"/>
        </w:rPr>
      </w:pPr>
      <w:r>
        <w:rPr>
          <w:rFonts w:ascii="宋体" w:hAnsi="宋体"/>
          <w:bCs/>
          <w:sz w:val="24"/>
        </w:rPr>
        <w:t xml:space="preserve">六、</w:t>
      </w:r>
      <w:r>
        <w:rPr>
          <w:rFonts w:ascii="宋体" w:hAnsi="宋体"/>
          <w:bCs/>
          <w:sz w:val="24"/>
        </w:rPr>
        <w:t xml:space="preserve">集合计划</w:t>
      </w:r>
      <w:r>
        <w:rPr>
          <w:rFonts w:ascii="宋体" w:hAnsi="宋体"/>
          <w:bCs/>
          <w:sz w:val="24"/>
        </w:rPr>
        <w:t xml:space="preserve">收益分配中发生的费用</w:t>
      </w:r>
      <w:r/>
    </w:p>
    <w:p>
      <w:pPr>
        <w:pStyle w:val="369"/>
        <w:ind w:firstLine="54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收益分配时所发生的银行转账或其他手续费用由投资者自行承担。当投资者的现金红利小于一定金</w:t>
      </w:r>
      <w:r>
        <w:rPr>
          <w:rFonts w:ascii="宋体" w:hAnsi="宋体"/>
          <w:bCs/>
          <w:sz w:val="24"/>
        </w:rPr>
        <w:t xml:space="preserve">额，不足</w:t>
      </w:r>
      <w:r>
        <w:rPr>
          <w:rFonts w:ascii="宋体" w:hAnsi="宋体"/>
          <w:bCs/>
          <w:sz w:val="24"/>
        </w:rPr>
        <w:t xml:space="preserve">以</w:t>
      </w:r>
      <w:r>
        <w:rPr>
          <w:rFonts w:ascii="宋体" w:hAnsi="宋体"/>
          <w:bCs/>
          <w:sz w:val="24"/>
        </w:rPr>
        <w:t xml:space="preserve">支付银行转账或其他手续费用时，集合计划登记机构可将集合计划份额持有人的现金红利自动转为</w:t>
      </w:r>
      <w:r>
        <w:rPr>
          <w:rFonts w:ascii="宋体" w:hAnsi="宋体"/>
          <w:bCs/>
          <w:sz w:val="24"/>
        </w:rPr>
        <w:t xml:space="preserve">集合计划</w:t>
      </w:r>
      <w:r>
        <w:rPr>
          <w:rFonts w:ascii="宋体" w:hAnsi="宋体"/>
          <w:bCs/>
          <w:sz w:val="24"/>
        </w:rPr>
        <w:t xml:space="preserve">份额。红利再投资的计算方法，依照《业务规则》执行。</w:t>
      </w:r>
      <w:r/>
    </w:p>
    <w:p>
      <w:pPr>
        <w:pStyle w:val="369"/>
        <w:ind w:firstLine="540"/>
        <w:snapToGrid w:val="1"/>
        <w:spacing w:lineRule="auto" w:line="360"/>
        <w:rPr>
          <w:rFonts w:ascii="宋体" w:hAnsi="宋体"/>
          <w:bCs/>
          <w:sz w:val="24"/>
        </w:rPr>
      </w:pPr>
      <w:r>
        <w:rPr>
          <w:rFonts w:ascii="宋体" w:hAnsi="宋体"/>
          <w:bCs/>
          <w:sz w:val="24"/>
        </w:rPr>
        <w:t xml:space="preserve">七、实施侧袋机制期间的收益分配</w:t>
      </w:r>
      <w:r>
        <w:rPr>
          <w:rFonts w:ascii="宋体" w:hAnsi="宋体"/>
          <w:bCs/>
          <w:sz w:val="24"/>
        </w:rPr>
      </w:r>
      <w:r/>
    </w:p>
    <w:p>
      <w:pPr>
        <w:pStyle w:val="369"/>
        <w:ind w:firstLine="540"/>
        <w:snapToGrid w:val="1"/>
        <w:spacing w:lineRule="auto" w:line="360"/>
        <w:rPr>
          <w:rFonts w:ascii="宋体" w:hAnsi="宋体"/>
          <w:bCs/>
          <w:sz w:val="24"/>
        </w:rPr>
      </w:pPr>
      <w:r>
        <w:rPr>
          <w:rFonts w:ascii="宋体" w:hAnsi="宋体"/>
          <w:bCs/>
          <w:sz w:val="24"/>
        </w:rPr>
        <w:t xml:space="preserve">本集合计划实施侧袋机制的，侧袋账户不进行收益分配，详见招募说明书的规定。</w:t>
      </w:r>
      <w:r>
        <w:rPr>
          <w:rFonts w:ascii="宋体" w:hAnsi="宋体"/>
          <w:bCs/>
          <w:sz w:val="24"/>
        </w:rPr>
      </w:r>
      <w:r/>
    </w:p>
    <w:p>
      <w:pPr>
        <w:pStyle w:val="369"/>
        <w:ind w:firstLine="540"/>
        <w:snapToGrid w:val="1"/>
        <w:spacing w:lineRule="auto" w:line="360"/>
        <w:rPr>
          <w:rFonts w:ascii="宋体" w:hAnsi="宋体"/>
          <w:bCs/>
          <w:sz w:val="24"/>
        </w:rPr>
      </w:pPr>
      <w:r>
        <w:rPr>
          <w:rFonts w:ascii="宋体" w:hAnsi="宋体"/>
          <w:bCs/>
          <w:sz w:val="24"/>
        </w:rPr>
      </w:r>
      <w:r/>
    </w:p>
    <w:p>
      <w:pPr>
        <w:pStyle w:val="370"/>
        <w:jc w:val="center"/>
        <w:snapToGrid w:val="1"/>
        <w:spacing w:after="0" w:before="0"/>
        <w:rPr>
          <w:rFonts w:hAnsi="宋体"/>
          <w:color w:val="000000"/>
          <w:sz w:val="30"/>
        </w:rPr>
      </w:pPr>
      <w:r>
        <w:rPr>
          <w:rFonts w:hAnsi="宋体"/>
          <w:b w:val="false"/>
          <w:bCs/>
          <w:color w:val="000000"/>
          <w:sz w:val="21"/>
        </w:rPr>
        <w:br w:type="page"/>
      </w:r>
      <w:bookmarkStart w:id="331" w:name="_Toc58146348"/>
      <w:r/>
      <w:bookmarkStart w:id="332" w:name="_Toc93226150"/>
      <w:r/>
      <w:bookmarkStart w:id="333" w:name="_Toc92662708"/>
      <w:r/>
      <w:bookmarkStart w:id="334" w:name="_Toc128310500"/>
      <w:r/>
      <w:bookmarkStart w:id="335" w:name="_Toc141703897"/>
      <w:r/>
      <w:bookmarkStart w:id="336" w:name="_Toc139991747"/>
      <w:r/>
      <w:bookmarkStart w:id="337" w:name="_Toc1043"/>
      <w:r/>
      <w:bookmarkStart w:id="338" w:name="_Toc29695"/>
      <w:r/>
      <w:bookmarkStart w:id="339" w:name="_Toc23859"/>
      <w:r/>
      <w:bookmarkStart w:id="340" w:name="_Toc13255"/>
      <w:r/>
      <w:bookmarkStart w:id="341" w:name="_Toc17499"/>
      <w:r/>
      <w:bookmarkStart w:id="342" w:name="_Toc28961"/>
      <w:r/>
      <w:bookmarkStart w:id="343" w:name="_Toc10894"/>
      <w:r/>
      <w:bookmarkStart w:id="344" w:name="_Toc18007"/>
      <w:r/>
      <w:bookmarkStart w:id="345" w:name="_Toc31736"/>
      <w:r/>
      <w:bookmarkStart w:id="346" w:name="_Toc21206"/>
      <w:r>
        <w:rPr>
          <w:rFonts w:hAnsi="宋体"/>
          <w:color w:val="000000"/>
          <w:sz w:val="30"/>
        </w:rPr>
        <w:t xml:space="preserve">第十</w:t>
      </w:r>
      <w:r>
        <w:rPr>
          <w:rFonts w:hAnsi="宋体"/>
          <w:color w:val="000000"/>
          <w:sz w:val="30"/>
        </w:rPr>
        <w:t xml:space="preserve">七</w:t>
      </w:r>
      <w:r>
        <w:rPr>
          <w:rFonts w:hAnsi="宋体"/>
          <w:color w:val="000000"/>
          <w:sz w:val="30"/>
        </w:rPr>
        <w:t xml:space="preserve">部分  集合计划份额的折算</w:t>
      </w:r>
      <w:bookmarkEnd w:id="331"/>
      <w:r>
        <w:rPr>
          <w:rFonts w:hAnsi="宋体"/>
          <w:color w:val="000000"/>
          <w:sz w:val="30"/>
        </w:rPr>
      </w:r>
      <w:r/>
    </w:p>
    <w:p>
      <w:pPr>
        <w:pStyle w:val="369"/>
        <w:snapToGrid w:val="1"/>
        <w:rPr>
          <w:rFonts w:ascii="宋体" w:hAnsi="宋体"/>
          <w:sz w:val="24"/>
          <w:szCs w:val="24"/>
        </w:rPr>
      </w:pPr>
      <w:r>
        <w:rPr>
          <w:rFonts w:ascii="宋体" w:hAnsi="宋体"/>
          <w:sz w:val="24"/>
          <w:szCs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在集合计划合同生效日或管理人决定的其他日期，管理人可以对本集合计划份额进行折算。本集合计划将按照以下规则进行份额折算：</w:t>
      </w:r>
      <w:r>
        <w:rPr>
          <w:rFonts w:ascii="宋体" w:hAnsi="宋体"/>
          <w:bCs/>
          <w:sz w:val="24"/>
          <w:szCs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一、集合计划份额折算基准日</w:t>
      </w:r>
      <w:r>
        <w:rPr>
          <w:rFonts w:ascii="宋体" w:hAnsi="宋体"/>
          <w:bCs/>
          <w:sz w:val="24"/>
          <w:szCs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在集合计划合同生效日或管理人决定的其他日期，</w:t>
      </w:r>
      <w:r>
        <w:rPr>
          <w:rFonts w:ascii="宋体" w:hAnsi="宋体"/>
          <w:bCs/>
          <w:sz w:val="24"/>
          <w:szCs w:val="24"/>
        </w:rPr>
        <w:t xml:space="preserve">管理人可根据市场情</w:t>
      </w:r>
      <w:r>
        <w:rPr>
          <w:rFonts w:ascii="宋体" w:hAnsi="宋体"/>
          <w:bCs/>
          <w:sz w:val="24"/>
          <w:szCs w:val="24"/>
        </w:rPr>
        <w:t xml:space="preserve">况确定折算基准日</w:t>
      </w:r>
      <w:r>
        <w:rPr>
          <w:rFonts w:ascii="宋体" w:hAnsi="宋体"/>
          <w:bCs/>
          <w:sz w:val="24"/>
          <w:szCs w:val="24"/>
        </w:rPr>
        <w:t xml:space="preserve">。</w:t>
      </w:r>
      <w:r>
        <w:rPr>
          <w:rFonts w:ascii="宋体" w:hAnsi="宋体"/>
          <w:bCs/>
          <w:sz w:val="24"/>
          <w:szCs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二、集合计划份额折算对象</w:t>
      </w:r>
      <w:r/>
    </w:p>
    <w:p>
      <w:pPr>
        <w:pStyle w:val="369"/>
        <w:ind w:firstLine="480"/>
        <w:snapToGrid w:val="1"/>
        <w:spacing w:lineRule="auto" w:line="360"/>
        <w:rPr>
          <w:rFonts w:ascii="宋体" w:hAnsi="宋体"/>
          <w:bCs/>
          <w:sz w:val="24"/>
          <w:szCs w:val="24"/>
        </w:rPr>
      </w:pPr>
      <w:r>
        <w:rPr>
          <w:rFonts w:ascii="宋体" w:hAnsi="宋体"/>
          <w:bCs/>
          <w:sz w:val="24"/>
          <w:szCs w:val="24"/>
        </w:rPr>
        <w:t xml:space="preserve">集合计划份额折算基准日登记在册的本集合计划份额。</w:t>
      </w:r>
      <w:r/>
    </w:p>
    <w:p>
      <w:pPr>
        <w:pStyle w:val="369"/>
        <w:ind w:firstLine="480"/>
        <w:snapToGrid w:val="1"/>
        <w:spacing w:lineRule="auto" w:line="360"/>
        <w:rPr>
          <w:rFonts w:ascii="宋体" w:hAnsi="宋体"/>
          <w:bCs/>
          <w:sz w:val="24"/>
          <w:szCs w:val="24"/>
        </w:rPr>
      </w:pPr>
      <w:r>
        <w:rPr>
          <w:rFonts w:ascii="宋体" w:hAnsi="宋体"/>
          <w:bCs/>
          <w:sz w:val="24"/>
          <w:szCs w:val="24"/>
        </w:rPr>
        <w:t xml:space="preserve">三、集合计划份额折算频率</w:t>
      </w:r>
      <w:r/>
    </w:p>
    <w:p>
      <w:pPr>
        <w:pStyle w:val="369"/>
        <w:ind w:firstLine="480"/>
        <w:snapToGrid w:val="1"/>
        <w:spacing w:lineRule="auto" w:line="360"/>
        <w:rPr>
          <w:rFonts w:ascii="宋体" w:hAnsi="宋体"/>
          <w:bCs/>
          <w:sz w:val="24"/>
          <w:szCs w:val="24"/>
        </w:rPr>
      </w:pPr>
      <w:r>
        <w:rPr>
          <w:rFonts w:ascii="宋体" w:hAnsi="宋体"/>
          <w:bCs/>
          <w:sz w:val="24"/>
          <w:szCs w:val="24"/>
        </w:rPr>
        <w:t xml:space="preserve">不定期。</w:t>
      </w:r>
      <w:r/>
    </w:p>
    <w:p>
      <w:pPr>
        <w:pStyle w:val="369"/>
        <w:ind w:firstLine="480"/>
        <w:snapToGrid w:val="1"/>
        <w:spacing w:lineRule="auto" w:line="360"/>
        <w:rPr>
          <w:rFonts w:ascii="宋体" w:hAnsi="宋体"/>
          <w:bCs/>
          <w:sz w:val="24"/>
          <w:szCs w:val="24"/>
        </w:rPr>
      </w:pPr>
      <w:r>
        <w:rPr>
          <w:rFonts w:ascii="宋体" w:hAnsi="宋体"/>
          <w:bCs/>
          <w:sz w:val="24"/>
          <w:szCs w:val="24"/>
        </w:rPr>
        <w:t xml:space="preserve">四、集合计划份额折算方式</w:t>
      </w:r>
      <w:r>
        <w:rPr>
          <w:rFonts w:ascii="宋体" w:hAnsi="宋体"/>
          <w:bCs/>
          <w:sz w:val="24"/>
          <w:szCs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当管理人在集合计划合同生效日或管理人决定的其他日期，对本集合计划份额进行折算时，本集合计划将按照以下公式进行份额折算：</w:t>
      </w:r>
      <w:r/>
    </w:p>
    <w:p>
      <w:pPr>
        <w:pStyle w:val="369"/>
        <w:ind w:firstLine="480"/>
        <w:snapToGrid w:val="1"/>
        <w:spacing w:lineRule="auto" w:line="360"/>
        <w:rPr>
          <w:rFonts w:ascii="宋体" w:hAnsi="宋体"/>
          <w:sz w:val="24"/>
          <w:szCs w:val="24"/>
        </w:rPr>
      </w:pPr>
      <w:r>
        <w:rPr>
          <w:rFonts w:ascii="宋体" w:hAnsi="宋体"/>
          <w:sz w:val="24"/>
          <w:szCs w:val="24"/>
        </w:rPr>
        <w:t xml:space="preserve">NUM</w:t>
      </w:r>
      <w:r>
        <w:rPr>
          <w:rFonts w:ascii="宋体" w:hAnsi="宋体"/>
          <w:sz w:val="24"/>
          <w:szCs w:val="24"/>
          <w:vertAlign w:val="superscript"/>
        </w:rPr>
        <w:t xml:space="preserve">后</w:t>
      </w:r>
      <w:r>
        <w:rPr>
          <w:rFonts w:ascii="宋体" w:hAnsi="宋体"/>
          <w:sz w:val="24"/>
          <w:szCs w:val="24"/>
        </w:rPr>
        <w:t xml:space="preserve">=</w:t>
      </w:r>
      <w:r>
        <w:rPr>
          <w:rFonts w:ascii="宋体" w:hAnsi="宋体"/>
          <w:sz w:val="24"/>
          <w:szCs w:val="24"/>
        </w:rPr>
        <w:t xml:space="preserve">NAV</w:t>
      </w:r>
      <w:r>
        <w:rPr>
          <w:rFonts w:ascii="宋体" w:hAnsi="宋体"/>
          <w:sz w:val="24"/>
          <w:szCs w:val="24"/>
          <w:vertAlign w:val="superscript"/>
        </w:rPr>
        <w:t xml:space="preserve">前</w:t>
      </w:r>
      <w:r>
        <w:rPr>
          <w:rFonts w:ascii="宋体" w:hAnsi="宋体"/>
          <w:sz w:val="24"/>
          <w:szCs w:val="24"/>
        </w:rPr>
        <w:t xml:space="preserve">×NUM</w:t>
      </w:r>
      <w:r>
        <w:rPr>
          <w:rFonts w:ascii="宋体" w:hAnsi="宋体"/>
          <w:sz w:val="24"/>
          <w:szCs w:val="24"/>
          <w:vertAlign w:val="superscript"/>
        </w:rPr>
        <w:t xml:space="preserve">前</w:t>
      </w:r>
      <w:r>
        <w:rPr>
          <w:rFonts w:ascii="宋体" w:hAnsi="宋体"/>
          <w:sz w:val="24"/>
          <w:szCs w:val="24"/>
        </w:rPr>
        <w:t xml:space="preserve">/1.0000</w:t>
      </w:r>
      <w:r/>
    </w:p>
    <w:p>
      <w:pPr>
        <w:pStyle w:val="369"/>
        <w:ind w:firstLine="480"/>
        <w:snapToGrid w:val="1"/>
        <w:spacing w:lineRule="auto" w:line="360"/>
        <w:rPr>
          <w:rFonts w:ascii="宋体" w:hAnsi="宋体"/>
          <w:sz w:val="24"/>
          <w:szCs w:val="24"/>
        </w:rPr>
      </w:pPr>
      <w:r>
        <w:rPr>
          <w:rFonts w:ascii="宋体" w:hAnsi="宋体"/>
          <w:sz w:val="24"/>
          <w:szCs w:val="24"/>
        </w:rPr>
        <w:t xml:space="preserve">其中</w:t>
      </w:r>
      <w:r>
        <w:rPr>
          <w:rFonts w:ascii="宋体" w:hAnsi="宋体"/>
          <w:sz w:val="24"/>
          <w:szCs w:val="24"/>
        </w:rPr>
        <w:t xml:space="preserve">：</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NAV</w:t>
      </w:r>
      <w:r>
        <w:rPr>
          <w:rFonts w:ascii="宋体" w:hAnsi="宋体"/>
          <w:sz w:val="24"/>
          <w:szCs w:val="24"/>
          <w:vertAlign w:val="superscript"/>
        </w:rPr>
        <w:t xml:space="preserve">前</w:t>
      </w:r>
      <w:r>
        <w:rPr>
          <w:rFonts w:ascii="宋体" w:hAnsi="宋体"/>
          <w:sz w:val="24"/>
          <w:szCs w:val="24"/>
        </w:rPr>
        <w:t xml:space="preserve">为折算前集合计划份额净值</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NUM</w:t>
      </w:r>
      <w:r>
        <w:rPr>
          <w:rFonts w:ascii="宋体" w:hAnsi="宋体"/>
          <w:sz w:val="24"/>
          <w:szCs w:val="24"/>
          <w:vertAlign w:val="superscript"/>
        </w:rPr>
        <w:t xml:space="preserve">前</w:t>
      </w:r>
      <w:r>
        <w:rPr>
          <w:rFonts w:ascii="宋体" w:hAnsi="宋体"/>
          <w:sz w:val="24"/>
          <w:szCs w:val="24"/>
        </w:rPr>
        <w:t xml:space="preserve">为折算前集合计划份额的份额数</w:t>
      </w:r>
      <w:r>
        <w:rPr>
          <w:rFonts w:ascii="宋体" w:hAnsi="宋体"/>
          <w:sz w:val="24"/>
          <w:szCs w:val="24"/>
        </w:rPr>
      </w:r>
      <w:r/>
    </w:p>
    <w:p>
      <w:pPr>
        <w:pStyle w:val="369"/>
        <w:ind w:firstLine="480"/>
        <w:snapToGrid w:val="1"/>
        <w:spacing w:lineRule="auto" w:line="360"/>
        <w:rPr>
          <w:rFonts w:ascii="宋体" w:hAnsi="宋体"/>
          <w:sz w:val="24"/>
          <w:szCs w:val="24"/>
        </w:rPr>
      </w:pPr>
      <w:r>
        <w:rPr>
          <w:rFonts w:ascii="宋体" w:hAnsi="宋体"/>
          <w:sz w:val="24"/>
          <w:szCs w:val="24"/>
        </w:rPr>
        <w:t xml:space="preserve">NUM</w:t>
      </w:r>
      <w:r>
        <w:rPr>
          <w:rFonts w:ascii="宋体" w:hAnsi="宋体"/>
          <w:sz w:val="24"/>
          <w:szCs w:val="24"/>
          <w:vertAlign w:val="superscript"/>
        </w:rPr>
        <w:t xml:space="preserve">后</w:t>
      </w:r>
      <w:r>
        <w:rPr>
          <w:rFonts w:ascii="宋体" w:hAnsi="宋体"/>
          <w:sz w:val="24"/>
          <w:szCs w:val="24"/>
        </w:rPr>
        <w:t xml:space="preserve">为折算后原集合计划份额持有人持有的集合计划份额的份数</w:t>
      </w:r>
      <w:r>
        <w:rPr>
          <w:rFonts w:ascii="宋体" w:hAnsi="宋体"/>
          <w:sz w:val="24"/>
          <w:szCs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集合计划份额的份额经折算后的份额数采用截尾法保留</w:t>
      </w:r>
      <w:r>
        <w:rPr>
          <w:rFonts w:ascii="宋体" w:hAnsi="宋体"/>
          <w:bCs/>
          <w:sz w:val="24"/>
          <w:szCs w:val="24"/>
        </w:rPr>
        <w:t xml:space="preserve">到小数点后两位，小数点第三位及第三位以后的部分舍去，由此产生的误差计入集合计划财产。</w:t>
      </w:r>
      <w:r>
        <w:rPr>
          <w:rFonts w:ascii="宋体" w:hAnsi="宋体"/>
          <w:bCs/>
          <w:sz w:val="24"/>
          <w:szCs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在实施集合计划份额折算时，折算日折算前集合计划份额净值具体见管理人届时发布的相关公告。</w:t>
      </w:r>
      <w:r/>
    </w:p>
    <w:p>
      <w:pPr>
        <w:pStyle w:val="369"/>
        <w:ind w:firstLine="480"/>
        <w:snapToGrid w:val="1"/>
        <w:spacing w:lineRule="auto" w:line="360"/>
        <w:rPr>
          <w:rFonts w:ascii="宋体" w:hAnsi="宋体"/>
          <w:bCs/>
          <w:sz w:val="24"/>
          <w:szCs w:val="24"/>
        </w:rPr>
      </w:pPr>
      <w:r>
        <w:rPr>
          <w:rFonts w:ascii="宋体" w:hAnsi="宋体"/>
          <w:bCs/>
          <w:sz w:val="24"/>
          <w:szCs w:val="24"/>
        </w:rPr>
        <w:t xml:space="preserve">五、集合计划份额折算期间的集合计划业务办理</w:t>
      </w:r>
      <w:r/>
    </w:p>
    <w:p>
      <w:pPr>
        <w:pStyle w:val="369"/>
        <w:ind w:firstLine="480"/>
        <w:snapToGrid w:val="1"/>
        <w:spacing w:lineRule="auto" w:line="360"/>
        <w:rPr>
          <w:rFonts w:ascii="宋体" w:hAnsi="宋体"/>
          <w:bCs/>
          <w:sz w:val="24"/>
          <w:szCs w:val="24"/>
        </w:rPr>
      </w:pPr>
      <w:r>
        <w:rPr>
          <w:rFonts w:ascii="宋体" w:hAnsi="宋体"/>
          <w:bCs/>
          <w:sz w:val="24"/>
          <w:szCs w:val="24"/>
        </w:rPr>
        <w:t xml:space="preserve">为保证集合计划份额折算期间本集合计划的平稳运作，管理人可暂停本集合计划份额的申购或赎回等相关业务，具体见管理人届时发布的相关公告。</w:t>
      </w:r>
      <w:r/>
    </w:p>
    <w:p>
      <w:pPr>
        <w:pStyle w:val="369"/>
        <w:ind w:firstLine="480"/>
        <w:snapToGrid w:val="1"/>
        <w:spacing w:lineRule="auto" w:line="360"/>
        <w:rPr>
          <w:rFonts w:ascii="宋体" w:hAnsi="宋体"/>
          <w:bCs/>
          <w:sz w:val="24"/>
          <w:szCs w:val="24"/>
        </w:rPr>
      </w:pPr>
      <w:r>
        <w:rPr>
          <w:rFonts w:ascii="宋体" w:hAnsi="宋体"/>
          <w:bCs/>
          <w:sz w:val="24"/>
          <w:szCs w:val="24"/>
        </w:rPr>
        <w:t xml:space="preserve">六、份额折算的公告</w:t>
      </w:r>
      <w:r>
        <w:rPr>
          <w:rFonts w:ascii="宋体" w:hAnsi="宋体"/>
          <w:bCs/>
          <w:sz w:val="24"/>
          <w:szCs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管理人应按照《信息披露办法》的规定在规定媒介公告。</w:t>
      </w:r>
      <w:r>
        <w:rPr>
          <w:rFonts w:ascii="宋体" w:hAnsi="宋体"/>
          <w:bCs/>
          <w:sz w:val="24"/>
          <w:szCs w:val="24"/>
        </w:rPr>
      </w:r>
      <w:r/>
    </w:p>
    <w:p>
      <w:pPr>
        <w:pStyle w:val="370"/>
        <w:jc w:val="center"/>
        <w:snapToGrid w:val="1"/>
        <w:spacing w:after="0" w:before="0"/>
        <w:rPr>
          <w:rFonts w:hAnsi="宋体"/>
          <w:color w:val="000000"/>
          <w:sz w:val="30"/>
        </w:rPr>
      </w:pPr>
      <w:r>
        <w:rPr>
          <w:rFonts w:hAnsi="宋体"/>
          <w:b w:val="false"/>
          <w:bCs/>
          <w:szCs w:val="24"/>
        </w:rPr>
        <w:br w:type="page"/>
      </w:r>
      <w:bookmarkStart w:id="347" w:name="_Toc58146349"/>
      <w:r>
        <w:rPr>
          <w:rFonts w:hAnsi="宋体"/>
          <w:color w:val="000000"/>
          <w:sz w:val="30"/>
        </w:rPr>
        <w:t xml:space="preserve">第十八部分 </w:t>
      </w:r>
      <w:r>
        <w:rPr>
          <w:rFonts w:hAnsi="宋体"/>
          <w:color w:val="000000"/>
          <w:sz w:val="30"/>
        </w:rPr>
        <w:t xml:space="preserve"> </w:t>
      </w:r>
      <w:r>
        <w:rPr>
          <w:rFonts w:hAnsi="宋体"/>
          <w:color w:val="000000"/>
          <w:sz w:val="30"/>
        </w:rPr>
        <w:t xml:space="preserve">集合计划</w:t>
      </w:r>
      <w:bookmarkEnd w:id="332"/>
      <w:r/>
      <w:bookmarkEnd w:id="333"/>
      <w:r>
        <w:rPr>
          <w:rFonts w:hAnsi="宋体"/>
          <w:color w:val="000000"/>
          <w:sz w:val="30"/>
        </w:rPr>
        <w:t xml:space="preserve">的会计与审计</w:t>
      </w:r>
      <w:bookmarkEnd w:id="334"/>
      <w:r/>
      <w:bookmarkEnd w:id="335"/>
      <w:r/>
      <w:bookmarkEnd w:id="336"/>
      <w:r/>
      <w:bookmarkEnd w:id="337"/>
      <w:r/>
      <w:bookmarkEnd w:id="338"/>
      <w:r/>
      <w:bookmarkEnd w:id="339"/>
      <w:r/>
      <w:bookmarkEnd w:id="340"/>
      <w:r/>
      <w:bookmarkEnd w:id="341"/>
      <w:r/>
      <w:bookmarkEnd w:id="342"/>
      <w:r/>
      <w:bookmarkEnd w:id="343"/>
      <w:r/>
      <w:bookmarkEnd w:id="344"/>
      <w:r/>
      <w:bookmarkEnd w:id="345"/>
      <w:r/>
      <w:bookmarkEnd w:id="346"/>
      <w:r/>
      <w:bookmarkEnd w:id="347"/>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w:t>
      </w:r>
      <w:r>
        <w:rPr>
          <w:rFonts w:ascii="宋体" w:hAnsi="宋体"/>
          <w:bCs/>
          <w:sz w:val="24"/>
        </w:rPr>
        <w:t xml:space="preserve">集合计划</w:t>
      </w:r>
      <w:r>
        <w:rPr>
          <w:rFonts w:ascii="宋体" w:hAnsi="宋体"/>
          <w:bCs/>
          <w:sz w:val="24"/>
        </w:rPr>
        <w:t xml:space="preserve">会计政策</w:t>
      </w:r>
      <w:r/>
    </w:p>
    <w:p>
      <w:pPr>
        <w:pStyle w:val="369"/>
        <w:ind w:firstLine="480"/>
        <w:snapToGrid w:val="1"/>
        <w:spacing w:lineRule="auto" w:line="360"/>
        <w:rPr>
          <w:rFonts w:ascii="宋体" w:hAnsi="宋体"/>
          <w:bCs/>
          <w:sz w:val="24"/>
        </w:rPr>
      </w:pPr>
      <w:r>
        <w:rPr>
          <w:rFonts w:ascii="宋体" w:hAnsi="宋体"/>
          <w:bCs/>
          <w:sz w:val="24"/>
        </w:rPr>
        <w:t xml:space="preserve">1、管理人为本集合计划的会计</w:t>
      </w:r>
      <w:r>
        <w:rPr>
          <w:rFonts w:ascii="宋体" w:hAnsi="宋体"/>
          <w:bCs/>
          <w:sz w:val="24"/>
        </w:rPr>
        <w:t xml:space="preserve">责任方；</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集合计划</w:t>
      </w:r>
      <w:r>
        <w:rPr>
          <w:rFonts w:ascii="宋体" w:hAnsi="宋体"/>
          <w:bCs/>
          <w:sz w:val="24"/>
        </w:rPr>
        <w:t xml:space="preserve">的会计年度为公历年度的1月1日至12月31日；</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集合计划</w:t>
      </w:r>
      <w:r>
        <w:rPr>
          <w:rFonts w:ascii="宋体" w:hAnsi="宋体"/>
          <w:bCs/>
          <w:sz w:val="24"/>
        </w:rPr>
        <w:t xml:space="preserve">核算以人民币为记账本位币，以人民币元为记账单位；</w:t>
      </w:r>
      <w:r/>
    </w:p>
    <w:p>
      <w:pPr>
        <w:pStyle w:val="369"/>
        <w:ind w:firstLine="480"/>
        <w:snapToGrid w:val="1"/>
        <w:spacing w:lineRule="auto" w:line="360"/>
        <w:rPr>
          <w:rFonts w:ascii="宋体" w:hAnsi="宋体"/>
          <w:bCs/>
          <w:sz w:val="24"/>
        </w:rPr>
      </w:pPr>
      <w:r>
        <w:rPr>
          <w:rFonts w:ascii="宋体" w:hAnsi="宋体"/>
          <w:bCs/>
          <w:sz w:val="24"/>
        </w:rPr>
        <w:t xml:space="preserve">4、会计制度执行国家有关会计制度；</w:t>
      </w:r>
      <w:r/>
    </w:p>
    <w:p>
      <w:pPr>
        <w:pStyle w:val="369"/>
        <w:ind w:firstLine="480"/>
        <w:snapToGrid w:val="1"/>
        <w:spacing w:lineRule="auto" w:line="360"/>
        <w:rPr>
          <w:rFonts w:ascii="宋体" w:hAnsi="宋体"/>
          <w:bCs/>
          <w:sz w:val="24"/>
        </w:rPr>
      </w:pPr>
      <w:r>
        <w:rPr>
          <w:rFonts w:ascii="宋体" w:hAnsi="宋体"/>
          <w:bCs/>
          <w:sz w:val="24"/>
        </w:rPr>
        <w:t xml:space="preserve">5、本集合计划独立建账、独立核算；</w:t>
      </w:r>
      <w:r/>
    </w:p>
    <w:p>
      <w:pPr>
        <w:pStyle w:val="369"/>
        <w:ind w:firstLine="480"/>
        <w:snapToGrid w:val="1"/>
        <w:spacing w:lineRule="auto" w:line="360"/>
        <w:rPr>
          <w:rFonts w:ascii="宋体" w:hAnsi="宋体"/>
          <w:bCs/>
          <w:sz w:val="24"/>
        </w:rPr>
      </w:pPr>
      <w:r>
        <w:rPr>
          <w:rFonts w:ascii="宋体" w:hAnsi="宋体"/>
          <w:bCs/>
          <w:sz w:val="24"/>
        </w:rPr>
        <w:t xml:space="preserve">6、管理人及托管人各自保留完整的会计账目、凭证并进行日常的会计核算，按照有关规定编制</w:t>
      </w:r>
      <w:r>
        <w:rPr>
          <w:rFonts w:ascii="宋体" w:hAnsi="宋体"/>
          <w:bCs/>
          <w:sz w:val="24"/>
        </w:rPr>
        <w:t xml:space="preserve">集合计划</w:t>
      </w:r>
      <w:r>
        <w:rPr>
          <w:rFonts w:ascii="宋体" w:hAnsi="宋体"/>
          <w:bCs/>
          <w:sz w:val="24"/>
        </w:rPr>
        <w:t xml:space="preserve">会计报表；</w:t>
      </w:r>
      <w:r/>
    </w:p>
    <w:p>
      <w:pPr>
        <w:pStyle w:val="369"/>
        <w:ind w:firstLine="480"/>
        <w:snapToGrid w:val="1"/>
        <w:spacing w:lineRule="auto" w:line="360"/>
        <w:rPr>
          <w:rFonts w:ascii="宋体" w:hAnsi="宋体"/>
          <w:bCs/>
          <w:sz w:val="24"/>
        </w:rPr>
      </w:pPr>
      <w:r>
        <w:rPr>
          <w:rFonts w:ascii="宋体" w:hAnsi="宋体"/>
          <w:bCs/>
          <w:sz w:val="24"/>
        </w:rPr>
        <w:t xml:space="preserve">7、托管人每月与管理人就</w:t>
      </w:r>
      <w:r>
        <w:rPr>
          <w:rFonts w:ascii="宋体" w:hAnsi="宋体"/>
          <w:bCs/>
          <w:sz w:val="24"/>
        </w:rPr>
        <w:t xml:space="preserve">集合计划</w:t>
      </w:r>
      <w:r>
        <w:rPr>
          <w:rFonts w:ascii="宋体" w:hAnsi="宋体"/>
          <w:bCs/>
          <w:sz w:val="24"/>
        </w:rPr>
        <w:t xml:space="preserve">的会计核算、报表编制等进行核对并以书面方式确认。</w:t>
      </w:r>
      <w:r/>
    </w:p>
    <w:p>
      <w:pPr>
        <w:pStyle w:val="369"/>
        <w:ind w:firstLine="480"/>
        <w:snapToGrid w:val="1"/>
        <w:spacing w:lineRule="auto" w:line="360"/>
        <w:rPr>
          <w:rFonts w:ascii="宋体" w:hAnsi="宋体"/>
          <w:bCs/>
          <w:sz w:val="24"/>
        </w:rPr>
      </w:pPr>
      <w:r>
        <w:rPr>
          <w:rFonts w:ascii="宋体" w:hAnsi="宋体"/>
          <w:bCs/>
          <w:sz w:val="24"/>
        </w:rPr>
        <w:t xml:space="preserve">二、</w:t>
      </w:r>
      <w:r>
        <w:rPr>
          <w:rFonts w:ascii="宋体" w:hAnsi="宋体"/>
          <w:bCs/>
          <w:sz w:val="24"/>
        </w:rPr>
        <w:t xml:space="preserve">集合计划</w:t>
      </w:r>
      <w:r>
        <w:rPr>
          <w:rFonts w:ascii="宋体" w:hAnsi="宋体"/>
          <w:bCs/>
          <w:sz w:val="24"/>
        </w:rPr>
        <w:t xml:space="preserve">的年度审计</w:t>
      </w:r>
      <w:r/>
    </w:p>
    <w:p>
      <w:pPr>
        <w:pStyle w:val="369"/>
        <w:ind w:firstLine="480"/>
        <w:snapToGrid w:val="1"/>
        <w:spacing w:lineRule="auto" w:line="360"/>
        <w:rPr>
          <w:rFonts w:ascii="宋体" w:hAnsi="宋体"/>
          <w:bCs/>
          <w:sz w:val="24"/>
        </w:rPr>
      </w:pPr>
      <w:r>
        <w:rPr>
          <w:rFonts w:ascii="宋体" w:hAnsi="宋体"/>
          <w:bCs/>
          <w:sz w:val="24"/>
        </w:rPr>
        <w:t xml:space="preserve">1、管理人聘请与管理人、托管人相互独立的</w:t>
      </w:r>
      <w:r>
        <w:rPr>
          <w:rFonts w:ascii="宋体" w:hAnsi="宋体"/>
          <w:sz w:val="24"/>
        </w:rPr>
        <w:t xml:space="preserve">符合《中华人民共和国证券法》规定</w:t>
      </w:r>
      <w:r>
        <w:rPr>
          <w:rFonts w:ascii="宋体" w:hAnsi="宋体"/>
          <w:bCs/>
          <w:sz w:val="24"/>
        </w:rPr>
        <w:t xml:space="preserve">的会计师事务所及其注册会计</w:t>
      </w:r>
      <w:r>
        <w:rPr>
          <w:rFonts w:ascii="宋体" w:hAnsi="宋体"/>
          <w:bCs/>
          <w:sz w:val="24"/>
        </w:rPr>
        <w:t xml:space="preserve">师对本集合计划的年度财务报表进行审计。</w:t>
      </w:r>
      <w:r/>
    </w:p>
    <w:p>
      <w:pPr>
        <w:pStyle w:val="369"/>
        <w:ind w:firstLine="480"/>
        <w:snapToGrid w:val="1"/>
        <w:spacing w:lineRule="auto" w:line="360"/>
        <w:rPr>
          <w:rFonts w:ascii="宋体" w:hAnsi="宋体"/>
          <w:bCs/>
          <w:sz w:val="24"/>
        </w:rPr>
      </w:pPr>
      <w:r>
        <w:rPr>
          <w:rFonts w:ascii="宋体" w:hAnsi="宋体"/>
          <w:bCs/>
          <w:sz w:val="24"/>
        </w:rPr>
        <w:t xml:space="preserve">2、会计师事务所更换经办注册会计师，应事先征得管理人同意。</w:t>
      </w:r>
      <w:r/>
    </w:p>
    <w:p>
      <w:pPr>
        <w:pStyle w:val="369"/>
        <w:ind w:firstLine="480"/>
        <w:snapToGrid w:val="1"/>
        <w:spacing w:lineRule="auto" w:line="360"/>
        <w:rPr>
          <w:rFonts w:ascii="宋体" w:hAnsi="宋体"/>
          <w:bCs/>
          <w:sz w:val="24"/>
        </w:rPr>
      </w:pPr>
      <w:r>
        <w:rPr>
          <w:rFonts w:ascii="宋体" w:hAnsi="宋体"/>
          <w:bCs/>
          <w:sz w:val="24"/>
        </w:rPr>
        <w:t xml:space="preserve">3、</w:t>
      </w:r>
      <w:bookmarkStart w:id="348" w:name="_Hlt4221115"/>
      <w:r/>
      <w:bookmarkEnd w:id="348"/>
      <w:r>
        <w:rPr>
          <w:rFonts w:ascii="宋体" w:hAnsi="宋体"/>
          <w:bCs/>
          <w:sz w:val="24"/>
        </w:rPr>
        <w:t xml:space="preserve">管理人认为有充足理由更换会计师事务所，须通报托管人。更换会计师事务所需在2日内在</w:t>
      </w:r>
      <w:r>
        <w:rPr>
          <w:rFonts w:ascii="宋体" w:hAnsi="宋体"/>
          <w:bCs/>
          <w:sz w:val="24"/>
        </w:rPr>
        <w:t xml:space="preserve">规定媒介</w:t>
      </w:r>
      <w:r>
        <w:rPr>
          <w:rFonts w:ascii="宋体" w:hAnsi="宋体"/>
          <w:bCs/>
          <w:sz w:val="24"/>
        </w:rPr>
        <w:t xml:space="preserve">公告。</w:t>
      </w:r>
      <w:r/>
    </w:p>
    <w:p>
      <w:pPr>
        <w:pStyle w:val="370"/>
        <w:jc w:val="center"/>
        <w:snapToGrid w:val="1"/>
        <w:spacing w:after="0" w:before="0"/>
        <w:rPr>
          <w:rFonts w:hAnsi="宋体"/>
          <w:color w:val="000000"/>
          <w:sz w:val="30"/>
        </w:rPr>
      </w:pPr>
      <w:r>
        <w:rPr>
          <w:rFonts w:hAnsi="宋体"/>
          <w:b w:val="false"/>
          <w:bCs/>
          <w:color w:val="000000"/>
        </w:rPr>
        <w:br w:type="page"/>
      </w:r>
      <w:bookmarkStart w:id="349" w:name="_Toc92662709"/>
      <w:r/>
      <w:bookmarkStart w:id="350" w:name="_Toc93226151"/>
      <w:r/>
      <w:bookmarkStart w:id="351" w:name="_Toc3056"/>
      <w:r/>
      <w:bookmarkStart w:id="352" w:name="_Toc193"/>
      <w:r/>
      <w:bookmarkStart w:id="353" w:name="_Toc141703898"/>
      <w:r/>
      <w:bookmarkStart w:id="354" w:name="_Toc139991748"/>
      <w:r/>
      <w:bookmarkStart w:id="355" w:name="_Toc128310501"/>
      <w:r/>
      <w:bookmarkStart w:id="356" w:name="_Toc1421"/>
      <w:r/>
      <w:bookmarkStart w:id="357" w:name="_Toc8512"/>
      <w:r/>
      <w:bookmarkStart w:id="358" w:name="_Toc11049"/>
      <w:r/>
      <w:bookmarkStart w:id="359" w:name="_Toc1173"/>
      <w:r/>
      <w:bookmarkStart w:id="360" w:name="_Toc12028"/>
      <w:r/>
      <w:bookmarkStart w:id="361" w:name="_Toc31866"/>
      <w:r/>
      <w:bookmarkStart w:id="362" w:name="_Toc29289"/>
      <w:r/>
      <w:bookmarkStart w:id="363" w:name="_Toc11802"/>
      <w:r/>
      <w:bookmarkStart w:id="364" w:name="_Toc58146350"/>
      <w:r>
        <w:rPr>
          <w:rFonts w:hAnsi="宋体"/>
          <w:color w:val="000000"/>
          <w:sz w:val="30"/>
        </w:rPr>
        <w:t xml:space="preserve">第十</w:t>
      </w:r>
      <w:r>
        <w:rPr>
          <w:rFonts w:hAnsi="宋体"/>
          <w:color w:val="000000"/>
          <w:sz w:val="30"/>
        </w:rPr>
        <w:t xml:space="preserve">九</w:t>
      </w:r>
      <w:r>
        <w:rPr>
          <w:rFonts w:hAnsi="宋体"/>
          <w:color w:val="000000"/>
          <w:sz w:val="30"/>
        </w:rPr>
        <w:t xml:space="preserve">部分  </w:t>
      </w:r>
      <w:r>
        <w:rPr>
          <w:rFonts w:hAnsi="宋体"/>
          <w:color w:val="000000"/>
          <w:sz w:val="30"/>
        </w:rPr>
        <w:t xml:space="preserve">集合计划</w:t>
      </w:r>
      <w:bookmarkEnd w:id="349"/>
      <w:r/>
      <w:bookmarkEnd w:id="350"/>
      <w:r>
        <w:rPr>
          <w:rFonts w:hAnsi="宋体"/>
          <w:color w:val="000000"/>
          <w:sz w:val="30"/>
        </w:rPr>
        <w:t xml:space="preserve">的信息披露</w:t>
      </w:r>
      <w:bookmarkEnd w:id="351"/>
      <w:r/>
      <w:bookmarkEnd w:id="352"/>
      <w:r/>
      <w:bookmarkEnd w:id="353"/>
      <w:r/>
      <w:bookmarkEnd w:id="354"/>
      <w:r/>
      <w:bookmarkEnd w:id="355"/>
      <w:r/>
      <w:bookmarkEnd w:id="356"/>
      <w:r/>
      <w:bookmarkEnd w:id="357"/>
      <w:r/>
      <w:bookmarkEnd w:id="358"/>
      <w:r/>
      <w:bookmarkEnd w:id="359"/>
      <w:r/>
      <w:bookmarkEnd w:id="360"/>
      <w:r/>
      <w:bookmarkEnd w:id="361"/>
      <w:r/>
      <w:bookmarkEnd w:id="362"/>
      <w:r/>
      <w:bookmarkEnd w:id="363"/>
      <w:r/>
      <w:bookmarkEnd w:id="364"/>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一、本集合计划的信息披露应符合《基金法》、《运作办法》、《信息披露办法》、</w:t>
      </w:r>
      <w:r>
        <w:rPr>
          <w:rFonts w:ascii="宋体" w:hAnsi="宋体"/>
          <w:bCs/>
          <w:sz w:val="24"/>
        </w:rPr>
        <w:t xml:space="preserve">《流动性风险管理规定》、</w:t>
      </w:r>
      <w:r>
        <w:rPr>
          <w:rFonts w:ascii="宋体" w:hAnsi="宋体"/>
          <w:bCs/>
          <w:sz w:val="24"/>
        </w:rPr>
        <w:t xml:space="preserve">《集合计划合同》及其他有关规定。</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二、信息披露义务人</w:t>
      </w:r>
      <w:r/>
    </w:p>
    <w:p>
      <w:pPr>
        <w:pStyle w:val="369"/>
        <w:ind w:firstLine="480"/>
        <w:snapToGrid w:val="1"/>
        <w:spacing w:lineRule="auto" w:line="360"/>
        <w:rPr>
          <w:rFonts w:ascii="宋体" w:hAnsi="宋体"/>
          <w:bCs/>
          <w:sz w:val="24"/>
        </w:rPr>
      </w:pPr>
      <w:r>
        <w:rPr>
          <w:rFonts w:ascii="宋体" w:hAnsi="宋体"/>
          <w:bCs/>
          <w:sz w:val="24"/>
        </w:rPr>
        <w:t xml:space="preserve">本集合计划信息披露义务人包括管理人、托管人、召集集合计划份额持有人大会的集合计划份额持有人等法律法规和中国证监会规定的自然</w:t>
      </w:r>
      <w:r>
        <w:rPr>
          <w:rFonts w:ascii="宋体" w:hAnsi="宋体"/>
          <w:bCs/>
          <w:sz w:val="24"/>
        </w:rPr>
        <w:t xml:space="preserve">人、法人和</w:t>
      </w:r>
      <w:r>
        <w:rPr>
          <w:rFonts w:ascii="宋体" w:hAnsi="宋体"/>
          <w:sz w:val="24"/>
        </w:rPr>
        <w:t xml:space="preserve">非法人</w:t>
      </w:r>
      <w:r>
        <w:rPr>
          <w:rFonts w:ascii="宋体" w:hAnsi="宋体"/>
          <w:bCs/>
          <w:sz w:val="24"/>
        </w:rPr>
        <w:t xml:space="preserve">组织。</w:t>
      </w:r>
      <w:r/>
    </w:p>
    <w:p>
      <w:pPr>
        <w:pStyle w:val="369"/>
        <w:ind w:firstLine="480"/>
        <w:snapToGrid w:val="1"/>
        <w:spacing w:lineRule="auto" w:line="360"/>
        <w:rPr>
          <w:rFonts w:ascii="宋体" w:hAnsi="宋体"/>
          <w:bCs/>
          <w:sz w:val="24"/>
        </w:rPr>
      </w:pPr>
      <w:r>
        <w:rPr>
          <w:rFonts w:ascii="宋体" w:hAnsi="宋体"/>
          <w:bCs/>
          <w:sz w:val="24"/>
        </w:rPr>
        <w:t xml:space="preserve">本集合计划信息披露义务人</w:t>
      </w:r>
      <w:r>
        <w:rPr>
          <w:rFonts w:ascii="宋体" w:hAnsi="宋体"/>
          <w:sz w:val="24"/>
        </w:rPr>
        <w:t xml:space="preserve">以保护集合计划份额持有人利益为根本出发点，</w:t>
      </w:r>
      <w:r>
        <w:rPr>
          <w:rFonts w:ascii="宋体" w:hAnsi="宋体"/>
          <w:bCs/>
          <w:sz w:val="24"/>
        </w:rPr>
        <w:t xml:space="preserve">按照法律法规和中国证监会的规定披露</w:t>
      </w:r>
      <w:r>
        <w:rPr>
          <w:rFonts w:ascii="宋体" w:hAnsi="宋体"/>
          <w:bCs/>
          <w:sz w:val="24"/>
        </w:rPr>
        <w:t xml:space="preserve">集合计划</w:t>
      </w:r>
      <w:r>
        <w:rPr>
          <w:rFonts w:ascii="宋体" w:hAnsi="宋体"/>
          <w:bCs/>
          <w:sz w:val="24"/>
        </w:rPr>
        <w:t xml:space="preserve">信息，并保证所披露信息的真实性、准确性</w:t>
      </w:r>
      <w:r>
        <w:rPr>
          <w:rFonts w:ascii="宋体" w:hAnsi="宋体"/>
          <w:bCs/>
          <w:sz w:val="24"/>
        </w:rPr>
        <w:t xml:space="preserve">、</w:t>
      </w:r>
      <w:r>
        <w:rPr>
          <w:rFonts w:ascii="宋体" w:hAnsi="宋体"/>
          <w:bCs/>
          <w:sz w:val="24"/>
        </w:rPr>
        <w:t xml:space="preserve">完整性</w:t>
      </w:r>
      <w:r>
        <w:rPr>
          <w:rFonts w:ascii="宋体" w:hAnsi="宋体"/>
          <w:sz w:val="24"/>
        </w:rPr>
        <w:t xml:space="preserve">、及时性、简明性和易得性</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本集合计划信息披露义务人应当在中国证监会规定时间内，将应予披露的</w:t>
      </w:r>
      <w:r>
        <w:rPr>
          <w:rFonts w:ascii="宋体" w:hAnsi="宋体"/>
          <w:bCs/>
          <w:sz w:val="24"/>
        </w:rPr>
        <w:t xml:space="preserve">集合计划</w:t>
      </w:r>
      <w:r>
        <w:rPr>
          <w:rFonts w:ascii="宋体" w:hAnsi="宋体"/>
          <w:bCs/>
          <w:sz w:val="24"/>
        </w:rPr>
        <w:t xml:space="preserve">信息通过</w:t>
      </w:r>
      <w:r>
        <w:rPr>
          <w:rFonts w:ascii="宋体" w:hAnsi="宋体"/>
          <w:sz w:val="24"/>
        </w:rPr>
        <w:t xml:space="preserve">符合中国证监会</w:t>
      </w:r>
      <w:r>
        <w:rPr>
          <w:rFonts w:ascii="宋体" w:hAnsi="宋体"/>
          <w:sz w:val="24"/>
        </w:rPr>
        <w:t xml:space="preserve">规定</w:t>
      </w:r>
      <w:r>
        <w:rPr>
          <w:rFonts w:ascii="宋体" w:hAnsi="宋体"/>
          <w:sz w:val="24"/>
        </w:rPr>
        <w:t xml:space="preserve">条件</w:t>
      </w:r>
      <w:r>
        <w:rPr>
          <w:rFonts w:ascii="宋体" w:hAnsi="宋体"/>
          <w:sz w:val="24"/>
        </w:rPr>
        <w:t xml:space="preserve">的全国性报刊（以下简称“规定报刊”）及《信息披露办法》规定的互联网网站（以下简称“规定网站”）等</w:t>
      </w:r>
      <w:r>
        <w:rPr>
          <w:rFonts w:ascii="宋体" w:hAnsi="宋体"/>
          <w:bCs/>
          <w:sz w:val="24"/>
        </w:rPr>
        <w:t xml:space="preserve">媒介披露，并保证</w:t>
      </w:r>
      <w:r>
        <w:rPr>
          <w:rFonts w:ascii="宋体" w:hAnsi="宋体"/>
          <w:bCs/>
          <w:sz w:val="24"/>
        </w:rPr>
        <w:t xml:space="preserve">集合计划</w:t>
      </w:r>
      <w:r>
        <w:rPr>
          <w:rFonts w:ascii="宋体" w:hAnsi="宋体"/>
          <w:bCs/>
          <w:sz w:val="24"/>
        </w:rPr>
        <w:t xml:space="preserve">投资者能够按照《集合计划合同》约定的时间和方式查阅或者复制公开披露的信息资料。</w:t>
      </w:r>
      <w:r/>
    </w:p>
    <w:p>
      <w:pPr>
        <w:pStyle w:val="369"/>
        <w:ind w:firstLine="480"/>
        <w:snapToGrid w:val="1"/>
        <w:spacing w:lineRule="auto" w:line="360"/>
        <w:rPr>
          <w:rFonts w:ascii="宋体" w:hAnsi="宋体"/>
          <w:bCs/>
          <w:sz w:val="24"/>
        </w:rPr>
      </w:pPr>
      <w:r>
        <w:rPr>
          <w:rFonts w:ascii="宋体" w:hAnsi="宋体"/>
          <w:bCs/>
          <w:sz w:val="24"/>
        </w:rPr>
        <w:t xml:space="preserve">三、</w:t>
      </w:r>
      <w:r>
        <w:rPr>
          <w:rFonts w:ascii="宋体" w:hAnsi="宋体"/>
          <w:bCs/>
          <w:sz w:val="24"/>
        </w:rPr>
        <w:t xml:space="preserve">本集合计划信息披露义务人承诺公开披露的</w:t>
      </w:r>
      <w:r>
        <w:rPr>
          <w:rFonts w:ascii="宋体" w:hAnsi="宋体"/>
          <w:bCs/>
          <w:sz w:val="24"/>
        </w:rPr>
        <w:t xml:space="preserve">集合计划</w:t>
      </w:r>
      <w:r>
        <w:rPr>
          <w:rFonts w:ascii="宋体" w:hAnsi="宋体"/>
          <w:bCs/>
          <w:sz w:val="24"/>
        </w:rPr>
        <w:t xml:space="preserve">信息，不得有下列行为：</w:t>
      </w:r>
      <w:r/>
    </w:p>
    <w:p>
      <w:pPr>
        <w:pStyle w:val="369"/>
        <w:ind w:firstLine="480"/>
        <w:snapToGrid w:val="1"/>
        <w:spacing w:lineRule="auto" w:line="360"/>
        <w:rPr>
          <w:rFonts w:ascii="宋体" w:hAnsi="宋体"/>
          <w:bCs/>
          <w:sz w:val="24"/>
        </w:rPr>
      </w:pPr>
      <w:r>
        <w:rPr>
          <w:rFonts w:ascii="宋体" w:hAnsi="宋体"/>
          <w:bCs/>
          <w:sz w:val="24"/>
        </w:rPr>
        <w:t xml:space="preserve">1、虚假记载、误导性陈述或者重大遗漏；</w:t>
      </w:r>
      <w:r/>
    </w:p>
    <w:p>
      <w:pPr>
        <w:pStyle w:val="369"/>
        <w:ind w:firstLine="480"/>
        <w:snapToGrid w:val="1"/>
        <w:spacing w:lineRule="auto" w:line="360"/>
        <w:rPr>
          <w:rFonts w:ascii="宋体" w:hAnsi="宋体"/>
          <w:bCs/>
          <w:sz w:val="24"/>
        </w:rPr>
      </w:pPr>
      <w:r>
        <w:rPr>
          <w:rFonts w:ascii="宋体" w:hAnsi="宋体"/>
          <w:bCs/>
          <w:sz w:val="24"/>
        </w:rPr>
        <w:t xml:space="preserve">2、对证券投资业绩进行预测；</w:t>
      </w:r>
      <w:r/>
    </w:p>
    <w:p>
      <w:pPr>
        <w:pStyle w:val="369"/>
        <w:ind w:firstLine="480"/>
        <w:snapToGrid w:val="1"/>
        <w:spacing w:lineRule="auto" w:line="360"/>
        <w:rPr>
          <w:rFonts w:ascii="宋体" w:hAnsi="宋体"/>
          <w:bCs/>
          <w:sz w:val="24"/>
        </w:rPr>
      </w:pPr>
      <w:r>
        <w:rPr>
          <w:rFonts w:ascii="宋体" w:hAnsi="宋体"/>
          <w:bCs/>
          <w:sz w:val="24"/>
        </w:rPr>
        <w:t xml:space="preserve">3、违规承诺收益或者承担损失；</w:t>
      </w:r>
      <w:r/>
    </w:p>
    <w:p>
      <w:pPr>
        <w:pStyle w:val="369"/>
        <w:ind w:firstLine="480"/>
        <w:snapToGrid w:val="1"/>
        <w:spacing w:lineRule="auto" w:line="360"/>
        <w:rPr>
          <w:rFonts w:ascii="宋体" w:hAnsi="宋体"/>
          <w:bCs/>
          <w:sz w:val="24"/>
        </w:rPr>
      </w:pPr>
      <w:r>
        <w:rPr>
          <w:rFonts w:ascii="宋体" w:hAnsi="宋体"/>
          <w:bCs/>
          <w:sz w:val="24"/>
        </w:rPr>
        <w:t xml:space="preserve">4、诋毁其他管理人、托管人或者集合计划销售机构；</w:t>
      </w:r>
      <w:r/>
    </w:p>
    <w:p>
      <w:pPr>
        <w:pStyle w:val="369"/>
        <w:ind w:firstLine="480"/>
        <w:snapToGrid w:val="1"/>
        <w:spacing w:lineRule="auto" w:line="360"/>
        <w:rPr>
          <w:rFonts w:ascii="宋体" w:hAnsi="宋体"/>
          <w:bCs/>
          <w:sz w:val="24"/>
        </w:rPr>
      </w:pPr>
      <w:r>
        <w:rPr>
          <w:rFonts w:ascii="宋体" w:hAnsi="宋体"/>
          <w:bCs/>
          <w:sz w:val="24"/>
        </w:rPr>
        <w:t xml:space="preserve">5、登载任何自然人、法人</w:t>
      </w:r>
      <w:r>
        <w:rPr>
          <w:rFonts w:ascii="宋体" w:hAnsi="宋体"/>
          <w:bCs/>
          <w:sz w:val="24"/>
        </w:rPr>
        <w:t xml:space="preserve">或者非法人</w:t>
      </w:r>
      <w:r>
        <w:rPr>
          <w:rFonts w:ascii="宋体" w:hAnsi="宋体"/>
          <w:bCs/>
          <w:sz w:val="24"/>
        </w:rPr>
        <w:t xml:space="preserve">组织的祝贺性、恭维性或推荐性的文字；</w:t>
      </w:r>
      <w:r/>
    </w:p>
    <w:p>
      <w:pPr>
        <w:pStyle w:val="369"/>
        <w:ind w:firstLine="480"/>
        <w:snapToGrid w:val="1"/>
        <w:spacing w:lineRule="auto" w:line="360"/>
        <w:rPr>
          <w:rFonts w:ascii="宋体" w:hAnsi="宋体"/>
          <w:bCs/>
          <w:sz w:val="24"/>
        </w:rPr>
      </w:pPr>
      <w:r>
        <w:rPr>
          <w:rFonts w:ascii="宋体" w:hAnsi="宋体"/>
          <w:bCs/>
          <w:sz w:val="24"/>
        </w:rPr>
        <w:t xml:space="preserve">6、中国证监会禁止的其他行为。</w:t>
      </w:r>
      <w:r/>
    </w:p>
    <w:p>
      <w:pPr>
        <w:pStyle w:val="369"/>
        <w:ind w:firstLine="480"/>
        <w:snapToGrid w:val="1"/>
        <w:spacing w:lineRule="auto" w:line="360"/>
        <w:rPr>
          <w:rFonts w:ascii="宋体" w:hAnsi="宋体"/>
          <w:bCs/>
          <w:sz w:val="24"/>
        </w:rPr>
      </w:pPr>
      <w:r>
        <w:rPr>
          <w:rFonts w:ascii="宋体" w:hAnsi="宋体"/>
          <w:bCs/>
          <w:sz w:val="24"/>
        </w:rPr>
        <w:t xml:space="preserve">四、本集合计划公开披露的信息应采用中文文本。如同时采用外文文本的，</w:t>
      </w:r>
      <w:r>
        <w:rPr>
          <w:rFonts w:ascii="宋体" w:hAnsi="宋体"/>
          <w:bCs/>
          <w:sz w:val="24"/>
        </w:rPr>
        <w:t xml:space="preserve">集合计划</w:t>
      </w:r>
      <w:r>
        <w:rPr>
          <w:rFonts w:ascii="宋体" w:hAnsi="宋体"/>
          <w:bCs/>
          <w:sz w:val="24"/>
        </w:rPr>
        <w:t xml:space="preserve">信息披露义务人应保证</w:t>
      </w:r>
      <w:r>
        <w:rPr>
          <w:rFonts w:ascii="宋体" w:hAnsi="宋体"/>
          <w:bCs/>
          <w:sz w:val="24"/>
        </w:rPr>
        <w:t xml:space="preserve">不同</w:t>
      </w:r>
      <w:r>
        <w:rPr>
          <w:rFonts w:ascii="宋体" w:hAnsi="宋体"/>
          <w:bCs/>
          <w:sz w:val="24"/>
        </w:rPr>
        <w:t xml:space="preserve">文本的内容一致。</w:t>
      </w:r>
      <w:r>
        <w:rPr>
          <w:rFonts w:ascii="宋体" w:hAnsi="宋体"/>
          <w:bCs/>
          <w:sz w:val="24"/>
        </w:rPr>
        <w:t xml:space="preserve">不同</w:t>
      </w:r>
      <w:r>
        <w:rPr>
          <w:rFonts w:ascii="宋体" w:hAnsi="宋体"/>
          <w:bCs/>
          <w:sz w:val="24"/>
        </w:rPr>
        <w:t xml:space="preserve">文本</w:t>
      </w:r>
      <w:r>
        <w:rPr>
          <w:rFonts w:ascii="宋体" w:hAnsi="宋体"/>
          <w:bCs/>
          <w:sz w:val="24"/>
        </w:rPr>
        <w:t xml:space="preserve">之间</w:t>
      </w:r>
      <w:r>
        <w:rPr>
          <w:rFonts w:ascii="宋体" w:hAnsi="宋体"/>
          <w:bCs/>
          <w:sz w:val="24"/>
        </w:rPr>
        <w:t xml:space="preserve">发生歧义的，以中文文本为准。</w:t>
      </w:r>
      <w:r/>
    </w:p>
    <w:p>
      <w:pPr>
        <w:pStyle w:val="369"/>
        <w:ind w:firstLine="480"/>
        <w:snapToGrid w:val="1"/>
        <w:spacing w:lineRule="auto" w:line="360"/>
        <w:rPr>
          <w:rFonts w:ascii="宋体" w:hAnsi="宋体"/>
          <w:bCs/>
          <w:sz w:val="24"/>
        </w:rPr>
      </w:pPr>
      <w:r>
        <w:rPr>
          <w:rFonts w:ascii="宋体" w:hAnsi="宋体"/>
          <w:bCs/>
          <w:sz w:val="24"/>
        </w:rPr>
        <w:t xml:space="preserve">本集合计划公开披露的信息采用阿</w:t>
      </w:r>
      <w:r>
        <w:rPr>
          <w:rFonts w:ascii="宋体" w:hAnsi="宋体"/>
          <w:bCs/>
          <w:sz w:val="24"/>
        </w:rPr>
        <w:t xml:space="preserve">拉伯数字；除特别说明外，货币单位为人民币元。</w:t>
      </w:r>
      <w:r/>
    </w:p>
    <w:p>
      <w:pPr>
        <w:pStyle w:val="369"/>
        <w:ind w:firstLine="480"/>
        <w:snapToGrid w:val="1"/>
        <w:spacing w:lineRule="auto" w:line="360"/>
        <w:rPr>
          <w:rFonts w:ascii="宋体" w:hAnsi="宋体"/>
          <w:bCs/>
          <w:sz w:val="24"/>
        </w:rPr>
      </w:pPr>
      <w:r>
        <w:rPr>
          <w:rFonts w:ascii="宋体" w:hAnsi="宋体"/>
          <w:bCs/>
          <w:sz w:val="24"/>
        </w:rPr>
        <w:t xml:space="preserve">五、公开披露的</w:t>
      </w:r>
      <w:r>
        <w:rPr>
          <w:rFonts w:ascii="宋体" w:hAnsi="宋体"/>
          <w:bCs/>
          <w:sz w:val="24"/>
        </w:rPr>
        <w:t xml:space="preserve">集合计划</w:t>
      </w:r>
      <w:r>
        <w:rPr>
          <w:rFonts w:ascii="宋体" w:hAnsi="宋体"/>
          <w:bCs/>
          <w:sz w:val="24"/>
        </w:rPr>
        <w:t xml:space="preserve">信息</w:t>
      </w:r>
      <w:r/>
    </w:p>
    <w:p>
      <w:pPr>
        <w:pStyle w:val="369"/>
        <w:ind w:firstLine="480"/>
        <w:snapToGrid w:val="1"/>
        <w:spacing w:lineRule="auto" w:line="360"/>
        <w:rPr>
          <w:rFonts w:ascii="宋体" w:hAnsi="宋体"/>
          <w:bCs/>
          <w:sz w:val="24"/>
        </w:rPr>
      </w:pPr>
      <w:r>
        <w:rPr>
          <w:rFonts w:ascii="宋体" w:hAnsi="宋体"/>
          <w:bCs/>
          <w:sz w:val="24"/>
        </w:rPr>
        <w:t xml:space="preserve">公开披露的</w:t>
      </w:r>
      <w:r>
        <w:rPr>
          <w:rFonts w:ascii="宋体" w:hAnsi="宋体"/>
          <w:bCs/>
          <w:sz w:val="24"/>
        </w:rPr>
        <w:t xml:space="preserve">集合计划</w:t>
      </w:r>
      <w:r>
        <w:rPr>
          <w:rFonts w:ascii="宋体" w:hAnsi="宋体"/>
          <w:bCs/>
          <w:sz w:val="24"/>
        </w:rPr>
        <w:t xml:space="preserve">信息包括：</w:t>
      </w:r>
      <w:r/>
    </w:p>
    <w:p>
      <w:pPr>
        <w:pStyle w:val="369"/>
        <w:ind w:firstLine="480"/>
        <w:snapToGrid w:val="1"/>
        <w:spacing w:lineRule="auto" w:line="360"/>
        <w:rPr>
          <w:rFonts w:ascii="宋体" w:hAnsi="宋体"/>
          <w:bCs/>
          <w:sz w:val="24"/>
        </w:rPr>
      </w:pPr>
      <w:r>
        <w:rPr>
          <w:rFonts w:ascii="宋体" w:hAnsi="宋体"/>
          <w:bCs/>
          <w:sz w:val="24"/>
        </w:rPr>
        <w:t xml:space="preserve">（一）招募说明书、《集合计划合同》、托管协议</w:t>
      </w:r>
      <w:r>
        <w:rPr>
          <w:rFonts w:ascii="宋体" w:hAnsi="宋体"/>
          <w:sz w:val="24"/>
        </w:rPr>
        <w:t xml:space="preserve">、</w:t>
      </w:r>
      <w:r>
        <w:rPr>
          <w:rFonts w:ascii="宋体" w:hAnsi="宋体"/>
          <w:sz w:val="24"/>
        </w:rPr>
        <w:t xml:space="preserve">产品资料概要</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1、《集合计划合同》是界定《集合计划合同》当事人的各项权利、义务关系，明确集合计划份额持有人大会召开的规则及具体程序，说明</w:t>
      </w:r>
      <w:r>
        <w:rPr>
          <w:rFonts w:ascii="宋体" w:hAnsi="宋体"/>
          <w:bCs/>
          <w:sz w:val="24"/>
        </w:rPr>
        <w:t xml:space="preserve">集合计划</w:t>
      </w:r>
      <w:r>
        <w:rPr>
          <w:rFonts w:ascii="宋体" w:hAnsi="宋体"/>
          <w:bCs/>
          <w:sz w:val="24"/>
        </w:rPr>
        <w:t xml:space="preserve">产品的特性等涉及</w:t>
      </w:r>
      <w:r>
        <w:rPr>
          <w:rFonts w:ascii="宋体" w:hAnsi="宋体"/>
          <w:bCs/>
          <w:sz w:val="24"/>
        </w:rPr>
        <w:t xml:space="preserve">集合计划</w:t>
      </w:r>
      <w:r>
        <w:rPr>
          <w:rFonts w:ascii="宋体" w:hAnsi="宋体"/>
          <w:bCs/>
          <w:sz w:val="24"/>
        </w:rPr>
        <w:t xml:space="preserve">投资者重大利益的事项的法律文件。</w:t>
      </w:r>
      <w:r/>
    </w:p>
    <w:p>
      <w:pPr>
        <w:pStyle w:val="369"/>
        <w:ind w:firstLine="480"/>
        <w:snapToGrid w:val="1"/>
        <w:spacing w:lineRule="auto" w:line="360"/>
        <w:rPr>
          <w:rFonts w:ascii="宋体" w:hAnsi="宋体"/>
          <w:bCs/>
          <w:sz w:val="24"/>
        </w:rPr>
      </w:pPr>
      <w:r>
        <w:rPr>
          <w:rFonts w:ascii="宋体" w:hAnsi="宋体"/>
          <w:bCs/>
          <w:sz w:val="24"/>
        </w:rPr>
        <w:t xml:space="preserve">2、招募说明书应当最大限度地披露影响</w:t>
      </w:r>
      <w:r>
        <w:rPr>
          <w:rFonts w:ascii="宋体" w:hAnsi="宋体"/>
          <w:bCs/>
          <w:sz w:val="24"/>
        </w:rPr>
        <w:t xml:space="preserve">集合计划</w:t>
      </w:r>
      <w:r>
        <w:rPr>
          <w:rFonts w:ascii="宋体" w:hAnsi="宋体"/>
          <w:bCs/>
          <w:sz w:val="24"/>
        </w:rPr>
        <w:t xml:space="preserve">投资者决策的全部事项，说明</w:t>
      </w:r>
      <w:r>
        <w:rPr>
          <w:rFonts w:ascii="宋体" w:hAnsi="宋体"/>
          <w:bCs/>
          <w:sz w:val="24"/>
        </w:rPr>
        <w:t xml:space="preserve">集合计划</w:t>
      </w:r>
      <w:r>
        <w:rPr>
          <w:rFonts w:ascii="宋体" w:hAnsi="宋体"/>
          <w:bCs/>
          <w:sz w:val="24"/>
        </w:rPr>
        <w:t xml:space="preserve">申购和赎回安排、</w:t>
      </w:r>
      <w:r>
        <w:rPr>
          <w:rFonts w:ascii="宋体" w:hAnsi="宋体"/>
          <w:bCs/>
          <w:sz w:val="24"/>
        </w:rPr>
        <w:t xml:space="preserve">集合计划</w:t>
      </w:r>
      <w:r>
        <w:rPr>
          <w:rFonts w:ascii="宋体" w:hAnsi="宋体"/>
          <w:bCs/>
          <w:sz w:val="24"/>
        </w:rPr>
        <w:t xml:space="preserve">投资、</w:t>
      </w:r>
      <w:r>
        <w:rPr>
          <w:rFonts w:ascii="宋体" w:hAnsi="宋体"/>
          <w:bCs/>
          <w:sz w:val="24"/>
        </w:rPr>
        <w:t xml:space="preserve">集合计划</w:t>
      </w:r>
      <w:r>
        <w:rPr>
          <w:rFonts w:ascii="宋体" w:hAnsi="宋体"/>
          <w:bCs/>
          <w:sz w:val="24"/>
        </w:rPr>
        <w:t xml:space="preserve">产品特性、风险揭示、信息披露及集合计划份额持</w:t>
      </w:r>
      <w:r>
        <w:rPr>
          <w:rFonts w:ascii="宋体" w:hAnsi="宋体"/>
          <w:bCs/>
          <w:sz w:val="24"/>
        </w:rPr>
        <w:t xml:space="preserve">有人服务等内容。《集合计划合同》生效后，</w:t>
      </w:r>
      <w:r>
        <w:rPr>
          <w:rFonts w:ascii="宋体" w:hAnsi="宋体"/>
          <w:sz w:val="24"/>
        </w:rPr>
        <w:t xml:space="preserve">招募说明书的信息发生重大变更的，</w:t>
      </w:r>
      <w:r>
        <w:rPr>
          <w:rFonts w:ascii="宋体" w:hAnsi="宋体"/>
          <w:bCs/>
          <w:sz w:val="24"/>
        </w:rPr>
        <w:t xml:space="preserve">管理人</w:t>
      </w:r>
      <w:r>
        <w:rPr>
          <w:rFonts w:ascii="宋体" w:hAnsi="宋体"/>
          <w:bCs/>
          <w:sz w:val="24"/>
        </w:rPr>
        <w:t xml:space="preserve">应当</w:t>
      </w:r>
      <w:r>
        <w:rPr>
          <w:rFonts w:ascii="宋体" w:hAnsi="宋体"/>
          <w:bCs/>
          <w:sz w:val="24"/>
        </w:rPr>
        <w:t xml:space="preserve">在</w:t>
      </w:r>
      <w:r>
        <w:rPr>
          <w:rFonts w:ascii="宋体" w:hAnsi="宋体"/>
          <w:sz w:val="24"/>
        </w:rPr>
        <w:t xml:space="preserve">三个工作日内</w:t>
      </w:r>
      <w:r>
        <w:rPr>
          <w:rFonts w:ascii="宋体" w:hAnsi="宋体"/>
          <w:bCs/>
          <w:sz w:val="24"/>
        </w:rPr>
        <w:t xml:space="preserve">，更新招募说明书并登载在</w:t>
      </w:r>
      <w:r>
        <w:rPr>
          <w:rFonts w:ascii="宋体" w:hAnsi="宋体"/>
          <w:bCs/>
          <w:sz w:val="24"/>
        </w:rPr>
        <w:t xml:space="preserve">规定</w:t>
      </w:r>
      <w:r>
        <w:rPr>
          <w:rFonts w:ascii="宋体" w:hAnsi="宋体"/>
          <w:bCs/>
          <w:sz w:val="24"/>
        </w:rPr>
        <w:t xml:space="preserve">网站上，招募说明书</w:t>
      </w:r>
      <w:r>
        <w:rPr>
          <w:rFonts w:ascii="宋体" w:hAnsi="宋体"/>
          <w:sz w:val="24"/>
        </w:rPr>
        <w:t xml:space="preserve">其他信息发生变更的，管理人至少每年更新一次。集合计划终止运作的，管理人不再更新招募说明书。</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3、托管协议是界定托管人和管理人在</w:t>
      </w:r>
      <w:r>
        <w:rPr>
          <w:rFonts w:ascii="宋体" w:hAnsi="宋体"/>
          <w:bCs/>
          <w:sz w:val="24"/>
        </w:rPr>
        <w:t xml:space="preserve">集合计划</w:t>
      </w:r>
      <w:r>
        <w:rPr>
          <w:rFonts w:ascii="宋体" w:hAnsi="宋体"/>
          <w:bCs/>
          <w:sz w:val="24"/>
        </w:rPr>
        <w:t xml:space="preserve">财产保管及</w:t>
      </w:r>
      <w:r>
        <w:rPr>
          <w:rFonts w:ascii="宋体" w:hAnsi="宋体"/>
          <w:bCs/>
          <w:sz w:val="24"/>
        </w:rPr>
        <w:t xml:space="preserve">集合计划</w:t>
      </w:r>
      <w:r>
        <w:rPr>
          <w:rFonts w:ascii="宋体" w:hAnsi="宋体"/>
          <w:bCs/>
          <w:sz w:val="24"/>
        </w:rPr>
        <w:t xml:space="preserve">运作监督等活动中的权利、义务关系的法律文件。</w:t>
      </w:r>
      <w:r/>
    </w:p>
    <w:p>
      <w:pPr>
        <w:pStyle w:val="369"/>
        <w:ind w:firstLine="480"/>
        <w:snapToGrid w:val="1"/>
        <w:spacing w:lineRule="auto" w:line="360"/>
        <w:rPr>
          <w:rFonts w:ascii="宋体" w:hAnsi="宋体"/>
          <w:sz w:val="24"/>
        </w:rPr>
      </w:pPr>
      <w:r>
        <w:rPr>
          <w:rFonts w:ascii="宋体" w:hAnsi="宋体"/>
          <w:sz w:val="24"/>
        </w:rPr>
        <w:t xml:space="preserve">4、产品资料概要是招募说明书的摘要文件，用于向投资者提供简明的集合计划概要信息。《集合计划合同》生效后，产品资料概要的信息发生重大变更的，管理人应当在三个工作日内，更新产品</w:t>
      </w:r>
      <w:r>
        <w:rPr>
          <w:rFonts w:ascii="宋体" w:hAnsi="宋体"/>
          <w:sz w:val="24"/>
        </w:rPr>
        <w:t xml:space="preserve">资料概要，并登载在规定网站及集合计划销售机构网站或营业网点；产品资料概要其他信息发生变更的，管理人至少每年更新一次。集合计划终止运作的，管理人不再更新产品资料概要。</w:t>
      </w:r>
      <w:r>
        <w:rPr>
          <w:rFonts w:ascii="宋体" w:hAnsi="宋体"/>
          <w:sz w:val="24"/>
        </w:rPr>
      </w:r>
      <w:r/>
    </w:p>
    <w:p>
      <w:pPr>
        <w:pStyle w:val="369"/>
        <w:ind w:firstLine="480"/>
        <w:snapToGrid w:val="1"/>
        <w:spacing w:lineRule="auto" w:line="360"/>
        <w:rPr>
          <w:rFonts w:ascii="宋体" w:hAnsi="宋体"/>
          <w:bCs/>
          <w:sz w:val="24"/>
        </w:rPr>
      </w:pPr>
      <w:r>
        <w:rPr>
          <w:rFonts w:ascii="宋体" w:hAnsi="宋体"/>
          <w:bCs/>
          <w:sz w:val="24"/>
        </w:rPr>
        <w:t xml:space="preserve">《东海证券东风9号集合资产管理计划合同》</w:t>
      </w:r>
      <w:r>
        <w:rPr>
          <w:rFonts w:ascii="宋体" w:hAnsi="宋体"/>
          <w:bCs/>
          <w:sz w:val="24"/>
        </w:rPr>
        <w:t xml:space="preserve">变更</w:t>
      </w:r>
      <w:r>
        <w:rPr>
          <w:rFonts w:ascii="宋体" w:hAnsi="宋体"/>
          <w:bCs/>
          <w:sz w:val="24"/>
        </w:rPr>
        <w:t xml:space="preserve">为《集合计划合同》</w:t>
      </w:r>
      <w:r>
        <w:rPr>
          <w:rFonts w:ascii="宋体" w:hAnsi="宋体"/>
          <w:bCs/>
          <w:sz w:val="24"/>
        </w:rPr>
        <w:t xml:space="preserve">的申请经中国证监会</w:t>
      </w:r>
      <w:r>
        <w:rPr>
          <w:rFonts w:ascii="宋体" w:hAnsi="宋体"/>
          <w:bCs/>
          <w:sz w:val="24"/>
        </w:rPr>
        <w:t xml:space="preserve">批准</w:t>
      </w:r>
      <w:r>
        <w:rPr>
          <w:rFonts w:ascii="宋体" w:hAnsi="宋体"/>
          <w:bCs/>
          <w:sz w:val="24"/>
        </w:rPr>
        <w:t xml:space="preserve">后，管理人</w:t>
      </w:r>
      <w:r>
        <w:rPr>
          <w:rFonts w:ascii="宋体" w:hAnsi="宋体"/>
          <w:bCs/>
          <w:sz w:val="24"/>
        </w:rPr>
        <w:t xml:space="preserve">应</w:t>
      </w:r>
      <w:r>
        <w:rPr>
          <w:rFonts w:ascii="宋体" w:hAnsi="宋体"/>
          <w:bCs/>
          <w:sz w:val="24"/>
        </w:rPr>
        <w:t xml:space="preserve">将招募说明书</w:t>
      </w:r>
      <w:r>
        <w:rPr>
          <w:rFonts w:ascii="宋体" w:hAnsi="宋体"/>
          <w:sz w:val="24"/>
        </w:rPr>
        <w:t xml:space="preserve">提示性公告</w:t>
      </w:r>
      <w:r>
        <w:rPr>
          <w:rFonts w:ascii="宋体" w:hAnsi="宋体"/>
          <w:sz w:val="24"/>
        </w:rPr>
        <w:t xml:space="preserve">、</w:t>
      </w:r>
      <w:r>
        <w:rPr>
          <w:rFonts w:ascii="宋体" w:hAnsi="宋体"/>
          <w:bCs/>
          <w:sz w:val="24"/>
        </w:rPr>
        <w:t xml:space="preserve">《</w:t>
      </w:r>
      <w:r>
        <w:rPr>
          <w:rFonts w:ascii="宋体" w:hAnsi="宋体"/>
          <w:bCs/>
          <w:sz w:val="24"/>
        </w:rPr>
        <w:t xml:space="preserve">集合计划合同</w:t>
      </w:r>
      <w:r>
        <w:rPr>
          <w:rFonts w:ascii="宋体" w:hAnsi="宋体"/>
          <w:bCs/>
          <w:sz w:val="24"/>
        </w:rPr>
        <w:t xml:space="preserve">》</w:t>
      </w:r>
      <w:r>
        <w:rPr>
          <w:rFonts w:ascii="宋体" w:hAnsi="宋体"/>
          <w:sz w:val="24"/>
        </w:rPr>
        <w:t xml:space="preserve">提示性公告</w:t>
      </w:r>
      <w:r>
        <w:rPr>
          <w:rFonts w:ascii="宋体" w:hAnsi="宋体"/>
          <w:sz w:val="24"/>
        </w:rPr>
        <w:t xml:space="preserve">登载在</w:t>
      </w:r>
      <w:r>
        <w:rPr>
          <w:rFonts w:ascii="宋体" w:hAnsi="宋体"/>
          <w:sz w:val="24"/>
        </w:rPr>
        <w:t xml:space="preserve">规定报刊</w:t>
      </w:r>
      <w:r>
        <w:rPr>
          <w:rFonts w:ascii="宋体" w:hAnsi="宋体"/>
          <w:sz w:val="24"/>
        </w:rPr>
        <w:t xml:space="preserve">上；</w:t>
      </w:r>
      <w:r>
        <w:rPr>
          <w:rFonts w:ascii="宋体" w:hAnsi="宋体"/>
          <w:sz w:val="24"/>
        </w:rPr>
        <w:t xml:space="preserve">将招募说明书、产品资料概要、《集合计划合同》和托管协议登载在规定网站上，并将产品资料概要登载在集合计划销售机构网站或营业网点；</w:t>
      </w:r>
      <w:r>
        <w:rPr>
          <w:rFonts w:ascii="宋体" w:hAnsi="宋体"/>
          <w:sz w:val="24"/>
        </w:rPr>
        <w:t xml:space="preserve">托管人应当</w:t>
      </w:r>
      <w:r>
        <w:rPr>
          <w:rFonts w:ascii="宋体" w:hAnsi="宋体"/>
          <w:sz w:val="24"/>
        </w:rPr>
        <w:t xml:space="preserve">同时</w:t>
      </w:r>
      <w:r>
        <w:rPr>
          <w:rFonts w:ascii="宋体" w:hAnsi="宋体"/>
          <w:sz w:val="24"/>
        </w:rPr>
        <w:t xml:space="preserve">将《</w:t>
      </w:r>
      <w:r>
        <w:rPr>
          <w:rFonts w:ascii="宋体" w:hAnsi="宋体"/>
          <w:sz w:val="24"/>
        </w:rPr>
        <w:t xml:space="preserve">集合计划合同</w:t>
      </w:r>
      <w:r>
        <w:rPr>
          <w:rFonts w:ascii="宋体" w:hAnsi="宋体"/>
          <w:sz w:val="24"/>
        </w:rPr>
        <w:t xml:space="preserve">》、托管协议登载在</w:t>
      </w:r>
      <w:r>
        <w:rPr>
          <w:rFonts w:ascii="宋体" w:hAnsi="宋体"/>
          <w:bCs/>
          <w:sz w:val="24"/>
        </w:rPr>
        <w:t xml:space="preserve">网站上。</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二</w:t>
      </w:r>
      <w:r>
        <w:rPr>
          <w:rFonts w:ascii="宋体" w:hAnsi="宋体"/>
          <w:bCs/>
          <w:sz w:val="24"/>
        </w:rPr>
        <w:t xml:space="preserve">）《集合计划合同》生效公告</w:t>
      </w:r>
      <w:r/>
    </w:p>
    <w:p>
      <w:pPr>
        <w:pStyle w:val="369"/>
        <w:ind w:firstLine="480"/>
        <w:snapToGrid w:val="1"/>
        <w:spacing w:lineRule="auto" w:line="360"/>
        <w:rPr>
          <w:rFonts w:ascii="宋体" w:hAnsi="宋体"/>
          <w:bCs/>
          <w:sz w:val="24"/>
        </w:rPr>
      </w:pPr>
      <w:r>
        <w:rPr>
          <w:rFonts w:ascii="宋体" w:hAnsi="宋体"/>
          <w:bCs/>
          <w:sz w:val="24"/>
        </w:rPr>
        <w:t xml:space="preserve">管理人应当在收到中国证监会</w:t>
      </w:r>
      <w:r>
        <w:rPr>
          <w:rFonts w:ascii="宋体" w:hAnsi="宋体"/>
          <w:bCs/>
          <w:sz w:val="24"/>
        </w:rPr>
        <w:t xml:space="preserve">批准</w:t>
      </w:r>
      <w:r>
        <w:rPr>
          <w:rFonts w:ascii="宋体" w:hAnsi="宋体"/>
          <w:bCs/>
          <w:sz w:val="24"/>
        </w:rPr>
        <w:t xml:space="preserve">文件</w:t>
      </w:r>
      <w:r>
        <w:rPr>
          <w:rFonts w:ascii="宋体" w:hAnsi="宋体"/>
          <w:bCs/>
          <w:sz w:val="24"/>
        </w:rPr>
        <w:t xml:space="preserve">后，</w:t>
      </w:r>
      <w:r>
        <w:rPr>
          <w:rFonts w:ascii="宋体" w:hAnsi="宋体"/>
          <w:bCs/>
          <w:sz w:val="24"/>
        </w:rPr>
        <w:t xml:space="preserve">在规定媒介上登载《集合计划合同》生效公告。</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三</w:t>
      </w:r>
      <w:r>
        <w:rPr>
          <w:rFonts w:ascii="宋体" w:hAnsi="宋体"/>
          <w:bCs/>
          <w:sz w:val="24"/>
        </w:rPr>
        <w:t xml:space="preserve">）</w:t>
      </w:r>
      <w:r>
        <w:rPr>
          <w:rFonts w:ascii="宋体" w:hAnsi="宋体"/>
          <w:bCs/>
          <w:sz w:val="24"/>
        </w:rPr>
        <w:t xml:space="preserve">集合计划</w:t>
      </w:r>
      <w:r>
        <w:rPr>
          <w:rFonts w:ascii="宋体" w:hAnsi="宋体"/>
          <w:bCs/>
          <w:sz w:val="24"/>
        </w:rPr>
        <w:t xml:space="preserve">净值</w:t>
      </w:r>
      <w:r>
        <w:rPr>
          <w:rFonts w:ascii="宋体" w:hAnsi="宋体"/>
          <w:bCs/>
          <w:sz w:val="24"/>
        </w:rPr>
        <w:t xml:space="preserve">信息</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《集合计划合同》生效后，在开始办理</w:t>
      </w:r>
      <w:r>
        <w:rPr>
          <w:rFonts w:ascii="宋体" w:hAnsi="宋体"/>
          <w:bCs/>
          <w:sz w:val="24"/>
        </w:rPr>
        <w:t xml:space="preserve">集合计划</w:t>
      </w:r>
      <w:r>
        <w:rPr>
          <w:rFonts w:ascii="宋体" w:hAnsi="宋体"/>
          <w:bCs/>
          <w:sz w:val="24"/>
        </w:rPr>
        <w:t xml:space="preserve">份额申购或赎回前，管理人应当至少每</w:t>
      </w:r>
      <w:r>
        <w:rPr>
          <w:rFonts w:ascii="宋体" w:hAnsi="宋体"/>
          <w:sz w:val="24"/>
        </w:rPr>
        <w:t xml:space="preserve">周</w:t>
      </w:r>
      <w:r>
        <w:rPr>
          <w:rFonts w:ascii="宋体" w:hAnsi="宋体"/>
          <w:sz w:val="24"/>
        </w:rPr>
        <w:t xml:space="preserve">在规定网站披露</w:t>
      </w:r>
      <w:r>
        <w:rPr>
          <w:rFonts w:ascii="宋体" w:hAnsi="宋体"/>
          <w:bCs/>
          <w:sz w:val="24"/>
        </w:rPr>
        <w:t xml:space="preserve">一次集合计划</w:t>
      </w:r>
      <w:r>
        <w:rPr>
          <w:rFonts w:ascii="宋体" w:hAnsi="宋体"/>
          <w:bCs/>
          <w:sz w:val="24"/>
        </w:rPr>
        <w:t xml:space="preserve">份额</w:t>
      </w:r>
      <w:r>
        <w:rPr>
          <w:rFonts w:ascii="宋体" w:hAnsi="宋体"/>
          <w:bCs/>
          <w:sz w:val="24"/>
        </w:rPr>
        <w:t xml:space="preserve">净值和集合计划份额</w:t>
      </w:r>
      <w:r>
        <w:rPr>
          <w:rFonts w:ascii="宋体" w:hAnsi="宋体"/>
          <w:bCs/>
          <w:sz w:val="24"/>
        </w:rPr>
        <w:t xml:space="preserve">累计</w:t>
      </w:r>
      <w:r>
        <w:rPr>
          <w:rFonts w:ascii="宋体" w:hAnsi="宋体"/>
          <w:bCs/>
          <w:sz w:val="24"/>
        </w:rPr>
        <w:t xml:space="preserve">净值。</w:t>
      </w:r>
      <w:r/>
    </w:p>
    <w:p>
      <w:pPr>
        <w:pStyle w:val="369"/>
        <w:ind w:firstLine="480"/>
        <w:snapToGrid w:val="1"/>
        <w:spacing w:lineRule="auto" w:line="360"/>
        <w:rPr>
          <w:rFonts w:ascii="宋体" w:hAnsi="宋体"/>
          <w:bCs/>
          <w:sz w:val="24"/>
        </w:rPr>
      </w:pPr>
      <w:r>
        <w:rPr>
          <w:rFonts w:ascii="宋体" w:hAnsi="宋体"/>
          <w:bCs/>
          <w:sz w:val="24"/>
        </w:rPr>
        <w:t xml:space="preserve">在开始办理</w:t>
      </w:r>
      <w:r>
        <w:rPr>
          <w:rFonts w:ascii="宋体" w:hAnsi="宋体"/>
          <w:bCs/>
          <w:sz w:val="24"/>
        </w:rPr>
        <w:t xml:space="preserve">集合计划</w:t>
      </w:r>
      <w:r>
        <w:rPr>
          <w:rFonts w:ascii="宋体" w:hAnsi="宋体"/>
          <w:bCs/>
          <w:sz w:val="24"/>
        </w:rPr>
        <w:t xml:space="preserve">份额申购或者赎回</w:t>
      </w:r>
      <w:r>
        <w:rPr>
          <w:rFonts w:ascii="宋体" w:hAnsi="宋体"/>
          <w:bCs/>
          <w:sz w:val="24"/>
        </w:rPr>
        <w:t xml:space="preserve">后</w:t>
      </w:r>
      <w:r>
        <w:rPr>
          <w:rFonts w:ascii="宋体" w:hAnsi="宋体"/>
          <w:bCs/>
          <w:sz w:val="24"/>
        </w:rPr>
        <w:t xml:space="preserve">，管理人应当在不晚于每个开放日的次日，通过</w:t>
      </w:r>
      <w:r>
        <w:rPr>
          <w:rFonts w:ascii="宋体" w:hAnsi="宋体"/>
          <w:bCs/>
          <w:sz w:val="24"/>
        </w:rPr>
        <w:t xml:space="preserve">规定</w:t>
      </w:r>
      <w:r>
        <w:rPr>
          <w:rFonts w:ascii="宋体" w:hAnsi="宋体"/>
          <w:bCs/>
          <w:sz w:val="24"/>
        </w:rPr>
        <w:t xml:space="preserve">网站、</w:t>
      </w:r>
      <w:r>
        <w:rPr>
          <w:rFonts w:ascii="宋体" w:hAnsi="宋体"/>
          <w:bCs/>
          <w:sz w:val="24"/>
        </w:rPr>
        <w:t xml:space="preserve">集合计划销售机构网站或营业</w:t>
      </w:r>
      <w:r>
        <w:rPr>
          <w:rFonts w:ascii="宋体" w:hAnsi="宋体"/>
          <w:bCs/>
          <w:sz w:val="24"/>
        </w:rPr>
        <w:t xml:space="preserve">网点披露开放日的集合计划份额净值和</w:t>
      </w:r>
      <w:r>
        <w:rPr>
          <w:rFonts w:ascii="宋体" w:hAnsi="宋体"/>
          <w:bCs/>
          <w:sz w:val="24"/>
        </w:rPr>
        <w:t xml:space="preserve">集合计划</w:t>
      </w:r>
      <w:r>
        <w:rPr>
          <w:rFonts w:ascii="宋体" w:hAnsi="宋体"/>
          <w:bCs/>
          <w:sz w:val="24"/>
        </w:rPr>
        <w:t xml:space="preserve">份额累计净值。</w:t>
      </w:r>
      <w:r/>
    </w:p>
    <w:p>
      <w:pPr>
        <w:pStyle w:val="369"/>
        <w:ind w:firstLine="480"/>
        <w:snapToGrid w:val="1"/>
        <w:spacing w:lineRule="auto" w:line="360"/>
        <w:rPr>
          <w:rFonts w:ascii="宋体" w:hAnsi="宋体"/>
          <w:bCs/>
          <w:sz w:val="24"/>
        </w:rPr>
      </w:pPr>
      <w:r>
        <w:rPr>
          <w:rFonts w:ascii="宋体" w:hAnsi="宋体"/>
          <w:bCs/>
          <w:sz w:val="24"/>
        </w:rPr>
        <w:t xml:space="preserve">管理人应当</w:t>
      </w:r>
      <w:r>
        <w:rPr>
          <w:rFonts w:ascii="宋体" w:hAnsi="宋体"/>
          <w:bCs/>
          <w:sz w:val="24"/>
        </w:rPr>
        <w:t xml:space="preserve">在不晚于</w:t>
      </w:r>
      <w:r>
        <w:rPr>
          <w:rFonts w:ascii="宋体" w:hAnsi="宋体"/>
          <w:bCs/>
          <w:sz w:val="24"/>
        </w:rPr>
        <w:t xml:space="preserve">半年度和年度最后</w:t>
      </w:r>
      <w:r>
        <w:rPr>
          <w:rFonts w:ascii="宋体" w:hAnsi="宋体"/>
          <w:bCs/>
          <w:sz w:val="24"/>
        </w:rPr>
        <w:t xml:space="preserve">一日</w:t>
      </w:r>
      <w:r>
        <w:rPr>
          <w:rFonts w:ascii="宋体" w:hAnsi="宋体"/>
          <w:bCs/>
          <w:sz w:val="24"/>
        </w:rPr>
        <w:t xml:space="preserve">的次日，</w:t>
      </w:r>
      <w:r>
        <w:rPr>
          <w:rFonts w:ascii="宋体" w:hAnsi="宋体"/>
          <w:sz w:val="24"/>
        </w:rPr>
        <w:t xml:space="preserve">在规定网站披露半</w:t>
      </w:r>
      <w:r>
        <w:rPr>
          <w:rFonts w:ascii="宋体" w:hAnsi="宋体"/>
          <w:sz w:val="24"/>
        </w:rPr>
        <w:t xml:space="preserve">年度和年度最后一日的</w:t>
      </w:r>
      <w:r>
        <w:rPr>
          <w:rFonts w:ascii="宋体" w:hAnsi="宋体"/>
          <w:bCs/>
          <w:sz w:val="24"/>
        </w:rPr>
        <w:t xml:space="preserve">集合计划份额净值和</w:t>
      </w:r>
      <w:r>
        <w:rPr>
          <w:rFonts w:ascii="宋体" w:hAnsi="宋体"/>
          <w:bCs/>
          <w:sz w:val="24"/>
        </w:rPr>
        <w:t xml:space="preserve">集合计划</w:t>
      </w:r>
      <w:r>
        <w:rPr>
          <w:rFonts w:ascii="宋体" w:hAnsi="宋体"/>
          <w:bCs/>
          <w:sz w:val="24"/>
        </w:rPr>
        <w:t xml:space="preserve">份额累计净值。</w:t>
      </w:r>
      <w:r/>
    </w:p>
    <w:p>
      <w:pPr>
        <w:pStyle w:val="369"/>
        <w:ind w:firstLine="480"/>
        <w:snapToGrid w:val="1"/>
        <w:spacing w:lineRule="auto" w:line="360"/>
        <w:rPr>
          <w:rFonts w:ascii="宋体" w:hAnsi="宋体"/>
          <w:bCs/>
          <w:sz w:val="24"/>
        </w:rPr>
      </w:pPr>
      <w:r>
        <w:rPr>
          <w:rFonts w:ascii="宋体" w:hAnsi="宋体"/>
          <w:bCs/>
          <w:sz w:val="24"/>
        </w:rPr>
        <w:t xml:space="preserve">遇特殊情况，经</w:t>
      </w:r>
      <w:r>
        <w:rPr>
          <w:rFonts w:ascii="宋体" w:hAnsi="宋体"/>
          <w:sz w:val="24"/>
        </w:rPr>
        <w:t xml:space="preserve">履行适当程序</w:t>
      </w:r>
      <w:r>
        <w:rPr>
          <w:rFonts w:ascii="宋体" w:hAnsi="宋体"/>
          <w:bCs/>
          <w:sz w:val="24"/>
        </w:rPr>
        <w:t xml:space="preserve">，可以适当延迟计算或公告。</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四</w:t>
      </w:r>
      <w:r>
        <w:rPr>
          <w:rFonts w:ascii="宋体" w:hAnsi="宋体"/>
          <w:bCs/>
          <w:sz w:val="24"/>
        </w:rPr>
        <w:t xml:space="preserve">）</w:t>
      </w:r>
      <w:r>
        <w:rPr>
          <w:rFonts w:ascii="宋体" w:hAnsi="宋体"/>
          <w:bCs/>
          <w:sz w:val="24"/>
        </w:rPr>
        <w:t xml:space="preserve">集合计划</w:t>
      </w:r>
      <w:r>
        <w:rPr>
          <w:rFonts w:ascii="宋体" w:hAnsi="宋体"/>
          <w:bCs/>
          <w:sz w:val="24"/>
        </w:rPr>
        <w:t xml:space="preserve">份额申购、赎回价格</w:t>
      </w:r>
      <w:r/>
    </w:p>
    <w:p>
      <w:pPr>
        <w:pStyle w:val="369"/>
        <w:ind w:firstLine="480"/>
        <w:snapToGrid w:val="1"/>
        <w:spacing w:lineRule="auto" w:line="360"/>
        <w:rPr>
          <w:rFonts w:ascii="宋体" w:hAnsi="宋体"/>
          <w:bCs/>
          <w:sz w:val="24"/>
        </w:rPr>
      </w:pPr>
      <w:r>
        <w:rPr>
          <w:rFonts w:ascii="宋体" w:hAnsi="宋体"/>
          <w:bCs/>
          <w:sz w:val="24"/>
        </w:rPr>
        <w:t xml:space="preserve">管理人应当在《集合计划合同》、招募说明书等信息披露文件上载明</w:t>
      </w:r>
      <w:r>
        <w:rPr>
          <w:rFonts w:ascii="宋体" w:hAnsi="宋体"/>
          <w:bCs/>
          <w:sz w:val="24"/>
        </w:rPr>
        <w:t xml:space="preserve">集合计划</w:t>
      </w:r>
      <w:r>
        <w:rPr>
          <w:rFonts w:ascii="宋体" w:hAnsi="宋体"/>
          <w:bCs/>
          <w:sz w:val="24"/>
        </w:rPr>
        <w:t xml:space="preserve">份额申购、赎回价格的计算方式及有关申购、赎回费率，并保证投资者能够在</w:t>
      </w:r>
      <w:r>
        <w:rPr>
          <w:rFonts w:ascii="宋体" w:hAnsi="宋体"/>
          <w:bCs/>
          <w:sz w:val="24"/>
        </w:rPr>
        <w:t xml:space="preserve">集合计划</w:t>
      </w:r>
      <w:r>
        <w:rPr>
          <w:rFonts w:ascii="宋体" w:hAnsi="宋体"/>
          <w:sz w:val="24"/>
        </w:rPr>
        <w:t xml:space="preserve">销售机构网站或者营业</w:t>
      </w:r>
      <w:r>
        <w:rPr>
          <w:rFonts w:ascii="宋体" w:hAnsi="宋体"/>
          <w:bCs/>
          <w:sz w:val="24"/>
        </w:rPr>
        <w:t xml:space="preserve">网点查阅或者复制前述信息资料。</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五</w:t>
      </w:r>
      <w:r>
        <w:rPr>
          <w:rFonts w:ascii="宋体" w:hAnsi="宋体"/>
          <w:bCs/>
          <w:sz w:val="24"/>
        </w:rPr>
        <w:t xml:space="preserve">）定期报告，包括年度报告、</w:t>
      </w:r>
      <w:r>
        <w:rPr>
          <w:rFonts w:ascii="宋体" w:hAnsi="宋体"/>
          <w:bCs/>
          <w:sz w:val="24"/>
        </w:rPr>
        <w:t xml:space="preserve">中期</w:t>
      </w:r>
      <w:r>
        <w:rPr>
          <w:rFonts w:ascii="宋体" w:hAnsi="宋体"/>
          <w:bCs/>
          <w:sz w:val="24"/>
        </w:rPr>
        <w:t xml:space="preserve">报告和季度报告</w:t>
      </w:r>
      <w:r/>
    </w:p>
    <w:p>
      <w:pPr>
        <w:pStyle w:val="369"/>
        <w:ind w:firstLine="480"/>
        <w:snapToGrid w:val="1"/>
        <w:spacing w:lineRule="auto" w:line="360"/>
        <w:rPr>
          <w:rFonts w:ascii="宋体" w:hAnsi="宋体"/>
          <w:bCs/>
          <w:sz w:val="24"/>
        </w:rPr>
      </w:pPr>
      <w:r>
        <w:rPr>
          <w:rFonts w:ascii="宋体" w:hAnsi="宋体"/>
          <w:bCs/>
          <w:sz w:val="24"/>
        </w:rPr>
        <w:t xml:space="preserve">管理人应当在每年结束之日起</w:t>
      </w:r>
      <w:r>
        <w:rPr>
          <w:rFonts w:ascii="宋体" w:hAnsi="宋体"/>
          <w:bCs/>
          <w:sz w:val="24"/>
        </w:rPr>
        <w:t xml:space="preserve">三个月内</w:t>
      </w:r>
      <w:r>
        <w:rPr>
          <w:rFonts w:ascii="宋体" w:hAnsi="宋体"/>
          <w:bCs/>
          <w:sz w:val="24"/>
        </w:rPr>
        <w:t xml:space="preserve">，编制完成年度报告，</w:t>
      </w:r>
      <w:r>
        <w:rPr>
          <w:rFonts w:ascii="宋体" w:hAnsi="宋体"/>
          <w:sz w:val="24"/>
        </w:rPr>
        <w:t xml:space="preserve">将年度报告登载在规定网站上，</w:t>
      </w:r>
      <w:r>
        <w:rPr>
          <w:rFonts w:ascii="宋体" w:hAnsi="宋体"/>
          <w:bCs/>
          <w:sz w:val="24"/>
        </w:rPr>
        <w:t xml:space="preserve">并将年度报告</w:t>
      </w:r>
      <w:r>
        <w:rPr>
          <w:rFonts w:ascii="宋体" w:hAnsi="宋体"/>
          <w:sz w:val="24"/>
        </w:rPr>
        <w:t xml:space="preserve">提示性公告</w:t>
      </w:r>
      <w:r>
        <w:rPr>
          <w:rFonts w:ascii="宋体" w:hAnsi="宋体"/>
          <w:bCs/>
          <w:sz w:val="24"/>
        </w:rPr>
        <w:t xml:space="preserve">登载在</w:t>
      </w:r>
      <w:r>
        <w:rPr>
          <w:rFonts w:ascii="宋体" w:hAnsi="宋体"/>
          <w:sz w:val="24"/>
        </w:rPr>
        <w:t xml:space="preserve">规定报</w:t>
      </w:r>
      <w:r>
        <w:rPr>
          <w:rFonts w:ascii="宋体" w:hAnsi="宋体"/>
          <w:sz w:val="24"/>
        </w:rPr>
        <w:t xml:space="preserve">刊</w:t>
      </w:r>
      <w:r>
        <w:rPr>
          <w:rFonts w:ascii="宋体" w:hAnsi="宋体"/>
          <w:bCs/>
          <w:sz w:val="24"/>
        </w:rPr>
        <w:t xml:space="preserve">上。年度报告</w:t>
      </w:r>
      <w:r>
        <w:rPr>
          <w:rFonts w:ascii="宋体" w:hAnsi="宋体"/>
          <w:bCs/>
          <w:sz w:val="24"/>
        </w:rPr>
        <w:t xml:space="preserve">中</w:t>
      </w:r>
      <w:r>
        <w:rPr>
          <w:rFonts w:ascii="宋体" w:hAnsi="宋体"/>
          <w:bCs/>
          <w:sz w:val="24"/>
        </w:rPr>
        <w:t xml:space="preserve">的财务会计报告应当经过</w:t>
      </w:r>
      <w:r>
        <w:rPr>
          <w:rFonts w:ascii="宋体" w:hAnsi="宋体"/>
          <w:sz w:val="24"/>
        </w:rPr>
        <w:t xml:space="preserve">符合《中华人民共和国证券法》规定的会计师事务所</w:t>
      </w:r>
      <w:r>
        <w:rPr>
          <w:rFonts w:ascii="宋体" w:hAnsi="宋体"/>
          <w:bCs/>
          <w:sz w:val="24"/>
        </w:rPr>
        <w:t xml:space="preserve">审计。</w:t>
      </w:r>
      <w:r/>
    </w:p>
    <w:p>
      <w:pPr>
        <w:pStyle w:val="369"/>
        <w:ind w:firstLine="480"/>
        <w:snapToGrid w:val="1"/>
        <w:spacing w:lineRule="auto" w:line="360"/>
        <w:rPr>
          <w:rFonts w:ascii="宋体" w:hAnsi="宋体"/>
          <w:bCs/>
          <w:sz w:val="24"/>
        </w:rPr>
      </w:pPr>
      <w:r>
        <w:rPr>
          <w:rFonts w:ascii="宋体" w:hAnsi="宋体"/>
          <w:bCs/>
          <w:sz w:val="24"/>
        </w:rPr>
        <w:t xml:space="preserve">管理人应当在上半年结束之日起</w:t>
      </w:r>
      <w:r>
        <w:rPr>
          <w:rFonts w:ascii="宋体" w:hAnsi="宋体"/>
          <w:bCs/>
          <w:sz w:val="24"/>
        </w:rPr>
        <w:t xml:space="preserve">两个月</w:t>
      </w:r>
      <w:r>
        <w:rPr>
          <w:rFonts w:ascii="宋体" w:hAnsi="宋体"/>
          <w:bCs/>
          <w:sz w:val="24"/>
        </w:rPr>
        <w:t xml:space="preserve">内，编制完成</w:t>
      </w:r>
      <w:r>
        <w:rPr>
          <w:rFonts w:ascii="宋体" w:hAnsi="宋体"/>
          <w:bCs/>
          <w:sz w:val="24"/>
        </w:rPr>
        <w:t xml:space="preserve">中期</w:t>
      </w:r>
      <w:r>
        <w:rPr>
          <w:rFonts w:ascii="宋体" w:hAnsi="宋体"/>
          <w:bCs/>
          <w:sz w:val="24"/>
        </w:rPr>
        <w:t xml:space="preserve">报告，将</w:t>
      </w:r>
      <w:r>
        <w:rPr>
          <w:rFonts w:ascii="宋体" w:hAnsi="宋体"/>
          <w:bCs/>
          <w:sz w:val="24"/>
        </w:rPr>
        <w:t xml:space="preserve">中期</w:t>
      </w:r>
      <w:r>
        <w:rPr>
          <w:rFonts w:ascii="宋体" w:hAnsi="宋体"/>
          <w:bCs/>
          <w:sz w:val="24"/>
        </w:rPr>
        <w:t xml:space="preserve">报告登载在</w:t>
      </w:r>
      <w:r>
        <w:rPr>
          <w:rFonts w:ascii="宋体" w:hAnsi="宋体"/>
          <w:bCs/>
          <w:sz w:val="24"/>
        </w:rPr>
        <w:t xml:space="preserve">规定</w:t>
      </w:r>
      <w:r>
        <w:rPr>
          <w:rFonts w:ascii="宋体" w:hAnsi="宋体"/>
          <w:bCs/>
          <w:sz w:val="24"/>
        </w:rPr>
        <w:t xml:space="preserve">网站上，</w:t>
      </w:r>
      <w:r>
        <w:rPr>
          <w:rFonts w:ascii="宋体" w:hAnsi="宋体"/>
          <w:bCs/>
          <w:sz w:val="24"/>
        </w:rPr>
        <w:t xml:space="preserve">并</w:t>
      </w:r>
      <w:r>
        <w:rPr>
          <w:rFonts w:ascii="宋体" w:hAnsi="宋体"/>
          <w:bCs/>
          <w:sz w:val="24"/>
        </w:rPr>
        <w:t xml:space="preserve">将</w:t>
      </w:r>
      <w:r>
        <w:rPr>
          <w:rFonts w:ascii="宋体" w:hAnsi="宋体"/>
          <w:bCs/>
          <w:sz w:val="24"/>
        </w:rPr>
        <w:t xml:space="preserve">中期</w:t>
      </w:r>
      <w:r>
        <w:rPr>
          <w:rFonts w:ascii="宋体" w:hAnsi="宋体"/>
          <w:bCs/>
          <w:sz w:val="24"/>
        </w:rPr>
        <w:t xml:space="preserve">报告</w:t>
      </w:r>
      <w:r>
        <w:rPr>
          <w:rFonts w:ascii="宋体" w:hAnsi="宋体"/>
          <w:sz w:val="24"/>
        </w:rPr>
        <w:t xml:space="preserve">提示性公告</w:t>
      </w:r>
      <w:r>
        <w:rPr>
          <w:rFonts w:ascii="宋体" w:hAnsi="宋体"/>
          <w:bCs/>
          <w:sz w:val="24"/>
        </w:rPr>
        <w:t xml:space="preserve">登载在规定</w:t>
      </w:r>
      <w:r>
        <w:rPr>
          <w:rFonts w:ascii="宋体" w:hAnsi="宋体"/>
          <w:bCs/>
          <w:sz w:val="24"/>
        </w:rPr>
        <w:t xml:space="preserve">报刊</w:t>
      </w:r>
      <w:r>
        <w:rPr>
          <w:rFonts w:ascii="宋体" w:hAnsi="宋体"/>
          <w:bCs/>
          <w:sz w:val="24"/>
        </w:rPr>
        <w:t xml:space="preserve">上。</w:t>
      </w:r>
      <w:r/>
    </w:p>
    <w:p>
      <w:pPr>
        <w:pStyle w:val="369"/>
        <w:ind w:firstLine="480"/>
        <w:snapToGrid w:val="1"/>
        <w:spacing w:lineRule="auto" w:line="360"/>
        <w:rPr>
          <w:rFonts w:ascii="宋体" w:hAnsi="宋体"/>
          <w:bCs/>
          <w:sz w:val="24"/>
        </w:rPr>
      </w:pPr>
      <w:r>
        <w:rPr>
          <w:rFonts w:ascii="宋体" w:hAnsi="宋体"/>
          <w:bCs/>
          <w:sz w:val="24"/>
        </w:rPr>
        <w:t xml:space="preserve">管理人应当在季度结束之日起15个工作日内，编制完成季度报告，</w:t>
      </w:r>
      <w:r>
        <w:rPr>
          <w:rFonts w:ascii="宋体" w:hAnsi="宋体"/>
          <w:sz w:val="24"/>
        </w:rPr>
        <w:t xml:space="preserve">将季度报告登载在规定网站上，</w:t>
      </w:r>
      <w:r>
        <w:rPr>
          <w:rFonts w:ascii="宋体" w:hAnsi="宋体"/>
          <w:bCs/>
          <w:sz w:val="24"/>
        </w:rPr>
        <w:t xml:space="preserve">并将季度报告</w:t>
      </w:r>
      <w:r>
        <w:rPr>
          <w:rFonts w:ascii="宋体" w:hAnsi="宋体"/>
          <w:sz w:val="24"/>
        </w:rPr>
        <w:t xml:space="preserve">提示性公告</w:t>
      </w:r>
      <w:r>
        <w:rPr>
          <w:rFonts w:ascii="宋体" w:hAnsi="宋体"/>
          <w:bCs/>
          <w:sz w:val="24"/>
        </w:rPr>
        <w:t xml:space="preserve">登载在规定</w:t>
      </w:r>
      <w:r>
        <w:rPr>
          <w:rFonts w:ascii="宋体" w:hAnsi="宋体"/>
          <w:bCs/>
          <w:sz w:val="24"/>
        </w:rPr>
        <w:t xml:space="preserve">报刊</w:t>
      </w:r>
      <w:r>
        <w:rPr>
          <w:rFonts w:ascii="宋体" w:hAnsi="宋体"/>
          <w:bCs/>
          <w:sz w:val="24"/>
        </w:rPr>
        <w:t xml:space="preserve">上。</w:t>
      </w:r>
      <w:r/>
    </w:p>
    <w:p>
      <w:pPr>
        <w:pStyle w:val="369"/>
        <w:ind w:firstLine="480"/>
        <w:snapToGrid w:val="1"/>
        <w:spacing w:lineRule="auto" w:line="360"/>
        <w:rPr>
          <w:rFonts w:ascii="宋体" w:hAnsi="宋体"/>
          <w:bCs/>
          <w:sz w:val="24"/>
        </w:rPr>
      </w:pPr>
      <w:r>
        <w:rPr>
          <w:rFonts w:ascii="宋体" w:hAnsi="宋体"/>
          <w:bCs/>
          <w:sz w:val="24"/>
        </w:rPr>
        <w:t xml:space="preserve">如报告期内出现单一投资者持有</w:t>
      </w:r>
      <w:r>
        <w:rPr>
          <w:rFonts w:ascii="宋体" w:hAnsi="宋体"/>
          <w:bCs/>
          <w:sz w:val="24"/>
        </w:rPr>
        <w:t xml:space="preserve">集合计划</w:t>
      </w:r>
      <w:r>
        <w:rPr>
          <w:rFonts w:ascii="宋体" w:hAnsi="宋体"/>
          <w:bCs/>
          <w:sz w:val="24"/>
        </w:rPr>
        <w:t xml:space="preserve">份额达到或超过</w:t>
      </w:r>
      <w:r>
        <w:rPr>
          <w:rFonts w:ascii="宋体" w:hAnsi="宋体"/>
          <w:bCs/>
          <w:sz w:val="24"/>
        </w:rPr>
        <w:t xml:space="preserve">集合计划</w:t>
      </w:r>
      <w:r>
        <w:rPr>
          <w:rFonts w:ascii="宋体" w:hAnsi="宋体"/>
          <w:bCs/>
          <w:sz w:val="24"/>
        </w:rPr>
        <w:t xml:space="preserve">总份额20%的情形，为保障其他投资者的权益，管理人至少应当在定期报告“影响投资者决策的其他重要信息”项下披</w:t>
      </w:r>
      <w:r>
        <w:rPr>
          <w:rFonts w:ascii="宋体" w:hAnsi="宋体"/>
          <w:bCs/>
          <w:sz w:val="24"/>
        </w:rPr>
        <w:t xml:space="preserve">露该投资者的类别、报告期末持有份额及占比、报告期内持有份额变化情况及本集合计划的特有风险，中国证监会认定的特殊情形除外。</w:t>
      </w:r>
      <w:r/>
    </w:p>
    <w:p>
      <w:pPr>
        <w:pStyle w:val="369"/>
        <w:ind w:firstLine="480"/>
        <w:snapToGrid w:val="1"/>
        <w:spacing w:lineRule="auto" w:line="360"/>
        <w:rPr>
          <w:rFonts w:ascii="宋体" w:hAnsi="宋体"/>
          <w:bCs/>
          <w:sz w:val="24"/>
        </w:rPr>
      </w:pPr>
      <w:r>
        <w:rPr>
          <w:rFonts w:ascii="宋体" w:hAnsi="宋体"/>
          <w:bCs/>
          <w:sz w:val="24"/>
        </w:rPr>
        <w:t xml:space="preserve">管理人应当在年度报告和</w:t>
      </w:r>
      <w:r>
        <w:rPr>
          <w:rFonts w:ascii="宋体" w:hAnsi="宋体"/>
          <w:bCs/>
          <w:sz w:val="24"/>
        </w:rPr>
        <w:t xml:space="preserve">中期</w:t>
      </w:r>
      <w:r>
        <w:rPr>
          <w:rFonts w:ascii="宋体" w:hAnsi="宋体"/>
          <w:bCs/>
          <w:sz w:val="24"/>
        </w:rPr>
        <w:t xml:space="preserve">报告中披露</w:t>
      </w:r>
      <w:r>
        <w:rPr>
          <w:rFonts w:ascii="宋体" w:hAnsi="宋体"/>
          <w:bCs/>
          <w:sz w:val="24"/>
        </w:rPr>
        <w:t xml:space="preserve">集合计划</w:t>
      </w:r>
      <w:r>
        <w:rPr>
          <w:rFonts w:ascii="宋体" w:hAnsi="宋体"/>
          <w:bCs/>
          <w:sz w:val="24"/>
        </w:rPr>
        <w:t xml:space="preserve">组合资产情况及其流动性风险分析等。</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六</w:t>
      </w:r>
      <w:r>
        <w:rPr>
          <w:rFonts w:ascii="宋体" w:hAnsi="宋体"/>
          <w:bCs/>
          <w:sz w:val="24"/>
        </w:rPr>
        <w:t xml:space="preserve">）临时报告</w:t>
      </w:r>
      <w:r/>
    </w:p>
    <w:p>
      <w:pPr>
        <w:pStyle w:val="369"/>
        <w:ind w:firstLine="480"/>
        <w:snapToGrid w:val="1"/>
        <w:spacing w:lineRule="auto" w:line="360"/>
        <w:rPr>
          <w:rFonts w:ascii="宋体" w:hAnsi="宋体"/>
          <w:bCs/>
          <w:sz w:val="24"/>
        </w:rPr>
      </w:pPr>
      <w:r>
        <w:rPr>
          <w:rFonts w:ascii="宋体" w:hAnsi="宋体"/>
          <w:bCs/>
          <w:sz w:val="24"/>
        </w:rPr>
        <w:t xml:space="preserve">本集合计划发生重大事件，有关信息披露义务人应当在2日内编制临时报告书，</w:t>
      </w:r>
      <w:r>
        <w:rPr>
          <w:rFonts w:ascii="宋体" w:hAnsi="宋体"/>
          <w:sz w:val="24"/>
        </w:rPr>
        <w:t xml:space="preserve">并登载在规定报刊和规定网站上</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前款所称重大事件，是指可能对集合计划份额持有人权益或者</w:t>
      </w:r>
      <w:r>
        <w:rPr>
          <w:rFonts w:ascii="宋体" w:hAnsi="宋体"/>
          <w:bCs/>
          <w:sz w:val="24"/>
        </w:rPr>
        <w:t xml:space="preserve">集合计划</w:t>
      </w:r>
      <w:r>
        <w:rPr>
          <w:rFonts w:ascii="宋体" w:hAnsi="宋体"/>
          <w:bCs/>
          <w:sz w:val="24"/>
        </w:rPr>
        <w:t xml:space="preserve">份额的价格产生重大影响的下列事件：</w:t>
      </w:r>
      <w:r/>
    </w:p>
    <w:p>
      <w:pPr>
        <w:pStyle w:val="369"/>
        <w:ind w:firstLine="480"/>
        <w:snapToGrid w:val="1"/>
        <w:spacing w:lineRule="auto" w:line="360"/>
        <w:rPr>
          <w:rFonts w:ascii="宋体" w:hAnsi="宋体"/>
          <w:bCs/>
          <w:sz w:val="24"/>
        </w:rPr>
      </w:pPr>
      <w:r>
        <w:rPr>
          <w:rFonts w:ascii="宋体" w:hAnsi="宋体"/>
          <w:bCs/>
          <w:sz w:val="24"/>
        </w:rPr>
        <w:t xml:space="preserve">1、集合计划份额持有人大会的召开</w:t>
      </w:r>
      <w:r>
        <w:rPr>
          <w:rFonts w:ascii="宋体" w:hAnsi="宋体"/>
          <w:sz w:val="24"/>
        </w:rPr>
        <w:t xml:space="preserve">及决定的事项</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2、《集合计划合同》</w:t>
      </w:r>
      <w:r>
        <w:rPr>
          <w:rFonts w:ascii="宋体" w:hAnsi="宋体"/>
          <w:sz w:val="24"/>
        </w:rPr>
        <w:t xml:space="preserve">终止</w:t>
      </w:r>
      <w:r>
        <w:rPr>
          <w:rFonts w:ascii="宋体" w:hAnsi="宋体"/>
          <w:sz w:val="24"/>
        </w:rPr>
        <w:t xml:space="preserve">、集合计划清算</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转换</w:t>
      </w:r>
      <w:r>
        <w:rPr>
          <w:rFonts w:ascii="宋体" w:hAnsi="宋体"/>
          <w:bCs/>
          <w:sz w:val="24"/>
        </w:rPr>
        <w:t xml:space="preserve">集合计划</w:t>
      </w:r>
      <w:r>
        <w:rPr>
          <w:rFonts w:ascii="宋体" w:hAnsi="宋体"/>
          <w:bCs/>
          <w:sz w:val="24"/>
        </w:rPr>
        <w:t xml:space="preserve">运作方式</w:t>
      </w:r>
      <w:r>
        <w:rPr>
          <w:rFonts w:ascii="宋体" w:hAnsi="宋体"/>
          <w:sz w:val="24"/>
        </w:rPr>
        <w:t xml:space="preserve">、集合计划合并</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4、更换管理人、托管人</w:t>
      </w:r>
      <w:r>
        <w:rPr>
          <w:rFonts w:ascii="宋体" w:hAnsi="宋体"/>
          <w:sz w:val="24"/>
        </w:rPr>
        <w:t xml:space="preserve">、集合计划份额登记机构，集合计划改聘会计师事务所</w:t>
      </w:r>
      <w:r>
        <w:rPr>
          <w:rFonts w:ascii="宋体" w:hAnsi="宋体"/>
          <w:bCs/>
          <w:sz w:val="24"/>
        </w:rPr>
        <w:t xml:space="preserve">；</w:t>
      </w:r>
      <w:r/>
    </w:p>
    <w:p>
      <w:pPr>
        <w:pStyle w:val="369"/>
        <w:ind w:firstLine="480"/>
        <w:snapToGrid w:val="1"/>
        <w:spacing w:lineRule="auto" w:line="360"/>
        <w:rPr>
          <w:rFonts w:ascii="宋体" w:hAnsi="宋体"/>
          <w:sz w:val="24"/>
        </w:rPr>
      </w:pPr>
      <w:r>
        <w:rPr>
          <w:rFonts w:ascii="宋体" w:hAnsi="宋体"/>
          <w:bCs/>
          <w:sz w:val="24"/>
        </w:rPr>
        <w:t xml:space="preserve">5、管理人</w:t>
      </w:r>
      <w:r>
        <w:rPr>
          <w:rFonts w:ascii="宋体" w:hAnsi="宋体"/>
          <w:sz w:val="24"/>
        </w:rPr>
        <w:t xml:space="preserve">委托服务机构代为办理集合计划的份额登记、核算、估值等事项，托管人委托服务机构代为办理集合计划的核算、估值、复核等事项；</w:t>
      </w:r>
      <w:r>
        <w:rPr>
          <w:rFonts w:ascii="宋体" w:hAnsi="宋体"/>
          <w:sz w:val="24"/>
        </w:rPr>
      </w:r>
      <w:r/>
    </w:p>
    <w:p>
      <w:pPr>
        <w:pStyle w:val="369"/>
        <w:ind w:firstLine="480"/>
        <w:snapToGrid w:val="1"/>
        <w:spacing w:lineRule="auto" w:line="360"/>
        <w:rPr>
          <w:rFonts w:ascii="宋体" w:hAnsi="宋体"/>
          <w:bCs/>
          <w:sz w:val="24"/>
        </w:rPr>
      </w:pPr>
      <w:r>
        <w:rPr>
          <w:rFonts w:ascii="宋体" w:hAnsi="宋体"/>
          <w:sz w:val="24"/>
        </w:rPr>
        <w:t xml:space="preserve">6</w:t>
      </w:r>
      <w:r>
        <w:rPr>
          <w:rFonts w:ascii="宋体" w:hAnsi="宋体"/>
          <w:bCs/>
          <w:sz w:val="24"/>
        </w:rPr>
        <w:t xml:space="preserve">、</w:t>
      </w:r>
      <w:r>
        <w:rPr>
          <w:rFonts w:ascii="宋体" w:hAnsi="宋体"/>
          <w:bCs/>
          <w:sz w:val="24"/>
        </w:rPr>
        <w:t xml:space="preserve">管理人、</w:t>
      </w:r>
      <w:r>
        <w:rPr>
          <w:rFonts w:ascii="宋体" w:hAnsi="宋体"/>
          <w:bCs/>
          <w:sz w:val="24"/>
        </w:rPr>
        <w:t xml:space="preserve">托管人的法定名称、住所发生变更；</w:t>
      </w:r>
      <w:r/>
    </w:p>
    <w:p>
      <w:pPr>
        <w:pStyle w:val="369"/>
        <w:ind w:firstLine="480"/>
        <w:snapToGrid w:val="1"/>
        <w:spacing w:lineRule="auto" w:line="360"/>
        <w:rPr>
          <w:rFonts w:ascii="宋体" w:hAnsi="宋体"/>
          <w:sz w:val="24"/>
        </w:rPr>
      </w:pPr>
      <w:r>
        <w:rPr>
          <w:rFonts w:ascii="宋体" w:hAnsi="宋体"/>
          <w:bCs/>
          <w:sz w:val="24"/>
        </w:rPr>
        <w:t xml:space="preserve">7、管理人</w:t>
      </w:r>
      <w:r>
        <w:rPr>
          <w:rFonts w:ascii="宋体" w:hAnsi="宋体"/>
          <w:sz w:val="24"/>
        </w:rPr>
        <w:t xml:space="preserve">变更持有百分之五以上股权的股东、管理人</w:t>
      </w:r>
      <w:r>
        <w:rPr>
          <w:rFonts w:ascii="宋体" w:hAnsi="宋体"/>
          <w:bCs/>
          <w:sz w:val="24"/>
        </w:rPr>
        <w:t xml:space="preserve">的</w:t>
      </w:r>
      <w:r>
        <w:rPr>
          <w:rFonts w:ascii="宋体" w:hAnsi="宋体"/>
          <w:sz w:val="24"/>
        </w:rPr>
        <w:t xml:space="preserve">实际控制人变更</w:t>
      </w:r>
      <w:r>
        <w:rPr>
          <w:rFonts w:ascii="宋体" w:hAnsi="宋体"/>
          <w:sz w:val="24"/>
        </w:rPr>
        <w:t xml:space="preserve">；</w:t>
      </w:r>
      <w:r/>
    </w:p>
    <w:p>
      <w:pPr>
        <w:pStyle w:val="369"/>
        <w:ind w:firstLine="480"/>
        <w:snapToGrid w:val="1"/>
        <w:spacing w:lineRule="auto" w:line="360"/>
        <w:rPr>
          <w:rFonts w:ascii="宋体" w:hAnsi="宋体"/>
          <w:bCs/>
          <w:sz w:val="24"/>
        </w:rPr>
      </w:pPr>
      <w:r>
        <w:rPr>
          <w:rFonts w:ascii="宋体" w:hAnsi="宋体"/>
          <w:sz w:val="24"/>
        </w:rPr>
        <w:t xml:space="preserve">8</w:t>
      </w:r>
      <w:r>
        <w:rPr>
          <w:rFonts w:ascii="宋体" w:hAnsi="宋体"/>
          <w:sz w:val="24"/>
        </w:rPr>
        <w:t xml:space="preserve">、管理人</w:t>
      </w:r>
      <w:r>
        <w:rPr>
          <w:rFonts w:ascii="宋体" w:hAnsi="宋体"/>
          <w:bCs/>
          <w:sz w:val="24"/>
        </w:rPr>
        <w:t xml:space="preserve">分管资产管理业务的高级管理人员、集合计划投资经理和托管人专门托管部门负责人发生变动；</w:t>
      </w:r>
      <w:r/>
    </w:p>
    <w:p>
      <w:pPr>
        <w:pStyle w:val="369"/>
        <w:ind w:firstLine="480"/>
        <w:snapToGrid w:val="1"/>
        <w:spacing w:lineRule="auto" w:line="360"/>
        <w:rPr>
          <w:rFonts w:ascii="宋体" w:hAnsi="宋体"/>
          <w:bCs/>
          <w:sz w:val="24"/>
        </w:rPr>
      </w:pPr>
      <w:r>
        <w:rPr>
          <w:rFonts w:ascii="宋体" w:hAnsi="宋体"/>
          <w:bCs/>
          <w:sz w:val="24"/>
        </w:rPr>
        <w:t xml:space="preserve">9、管理人</w:t>
      </w:r>
      <w:r>
        <w:rPr>
          <w:rFonts w:ascii="宋体" w:hAnsi="宋体"/>
          <w:sz w:val="24"/>
        </w:rPr>
        <w:t xml:space="preserve">的董事在</w:t>
      </w:r>
      <w:r>
        <w:rPr>
          <w:rFonts w:ascii="宋体" w:hAnsi="宋体"/>
          <w:sz w:val="24"/>
        </w:rPr>
        <w:t xml:space="preserve">最近12个月</w:t>
      </w:r>
      <w:r>
        <w:rPr>
          <w:rFonts w:ascii="宋体" w:hAnsi="宋体"/>
          <w:sz w:val="24"/>
        </w:rPr>
        <w:t xml:space="preserve">内变更超过百分之五十</w:t>
      </w:r>
      <w:r>
        <w:rPr>
          <w:rFonts w:ascii="宋体" w:hAnsi="宋体"/>
          <w:sz w:val="24"/>
        </w:rPr>
        <w:t xml:space="preserve">，</w:t>
      </w:r>
      <w:r>
        <w:rPr>
          <w:rFonts w:ascii="宋体" w:hAnsi="宋体"/>
          <w:sz w:val="24"/>
        </w:rPr>
        <w:t xml:space="preserve">管理人</w:t>
      </w:r>
      <w:r>
        <w:rPr>
          <w:rFonts w:ascii="宋体" w:hAnsi="宋体"/>
          <w:bCs/>
          <w:sz w:val="24"/>
        </w:rPr>
        <w:t xml:space="preserve">、</w:t>
      </w:r>
      <w:r>
        <w:rPr>
          <w:rFonts w:ascii="宋体" w:hAnsi="宋体"/>
          <w:bCs/>
          <w:sz w:val="24"/>
        </w:rPr>
        <w:t xml:space="preserve">托管人</w:t>
      </w:r>
      <w:r>
        <w:rPr>
          <w:rFonts w:ascii="宋体" w:hAnsi="宋体"/>
          <w:bCs/>
          <w:sz w:val="24"/>
        </w:rPr>
        <w:t xml:space="preserve">专门</w:t>
      </w:r>
      <w:r>
        <w:rPr>
          <w:rFonts w:ascii="宋体" w:hAnsi="宋体"/>
          <w:bCs/>
          <w:sz w:val="24"/>
        </w:rPr>
        <w:t xml:space="preserve">托管部门的主要业务人员在</w:t>
      </w:r>
      <w:r>
        <w:rPr>
          <w:rFonts w:ascii="宋体" w:hAnsi="宋体"/>
          <w:bCs/>
          <w:sz w:val="24"/>
        </w:rPr>
        <w:t xml:space="preserve">最近1</w:t>
      </w:r>
      <w:r>
        <w:rPr>
          <w:rFonts w:ascii="宋体" w:hAnsi="宋体"/>
          <w:bCs/>
          <w:sz w:val="24"/>
        </w:rPr>
        <w:t xml:space="preserve">2</w:t>
      </w:r>
      <w:r>
        <w:rPr>
          <w:rFonts w:ascii="宋体" w:hAnsi="宋体"/>
          <w:bCs/>
          <w:sz w:val="24"/>
        </w:rPr>
        <w:t xml:space="preserve">个月内</w:t>
      </w:r>
      <w:r>
        <w:rPr>
          <w:rFonts w:ascii="宋体" w:hAnsi="宋体"/>
          <w:bCs/>
          <w:sz w:val="24"/>
        </w:rPr>
        <w:t xml:space="preserve">变动超过百分之三十；</w:t>
      </w:r>
      <w:r/>
    </w:p>
    <w:p>
      <w:pPr>
        <w:pStyle w:val="369"/>
        <w:ind w:firstLine="480"/>
        <w:snapToGrid w:val="1"/>
        <w:spacing w:lineRule="auto" w:line="360"/>
        <w:rPr>
          <w:rFonts w:ascii="宋体" w:hAnsi="宋体"/>
          <w:bCs/>
          <w:sz w:val="24"/>
        </w:rPr>
      </w:pPr>
      <w:r>
        <w:rPr>
          <w:rFonts w:ascii="宋体" w:hAnsi="宋体"/>
          <w:bCs/>
          <w:sz w:val="24"/>
        </w:rPr>
        <w:t xml:space="preserve">10、涉及</w:t>
      </w:r>
      <w:r>
        <w:rPr>
          <w:rFonts w:ascii="宋体" w:hAnsi="宋体"/>
          <w:bCs/>
          <w:sz w:val="24"/>
        </w:rPr>
        <w:t xml:space="preserve">集合</w:t>
      </w:r>
      <w:r>
        <w:rPr>
          <w:rFonts w:ascii="宋体" w:hAnsi="宋体"/>
          <w:sz w:val="24"/>
        </w:rPr>
        <w:t xml:space="preserve">计划</w:t>
      </w:r>
      <w:r>
        <w:rPr>
          <w:rFonts w:ascii="宋体" w:hAnsi="宋体"/>
          <w:sz w:val="24"/>
        </w:rPr>
        <w:t xml:space="preserve">财产、</w:t>
      </w:r>
      <w:r>
        <w:rPr>
          <w:rFonts w:ascii="宋体" w:hAnsi="宋体"/>
          <w:sz w:val="24"/>
        </w:rPr>
        <w:t xml:space="preserve">集合</w:t>
      </w:r>
      <w:r>
        <w:rPr>
          <w:rFonts w:ascii="宋体" w:hAnsi="宋体"/>
          <w:bCs/>
          <w:sz w:val="24"/>
        </w:rPr>
        <w:t xml:space="preserve">资产管理计划</w:t>
      </w:r>
      <w:r>
        <w:rPr>
          <w:rFonts w:ascii="宋体" w:hAnsi="宋体"/>
          <w:bCs/>
          <w:sz w:val="24"/>
        </w:rPr>
        <w:t xml:space="preserve">管理</w:t>
      </w:r>
      <w:r>
        <w:rPr>
          <w:rFonts w:ascii="宋体" w:hAnsi="宋体"/>
          <w:bCs/>
          <w:sz w:val="24"/>
        </w:rPr>
        <w:t xml:space="preserve">业务</w:t>
      </w:r>
      <w:r>
        <w:rPr>
          <w:rFonts w:ascii="宋体" w:hAnsi="宋体"/>
          <w:bCs/>
          <w:sz w:val="24"/>
        </w:rPr>
        <w:t xml:space="preserve">、托管业务的诉讼</w:t>
      </w:r>
      <w:r>
        <w:rPr>
          <w:rFonts w:ascii="宋体" w:hAnsi="宋体"/>
          <w:bCs/>
          <w:sz w:val="24"/>
        </w:rPr>
        <w:t xml:space="preserve">或仲裁</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11、管理人</w:t>
      </w:r>
      <w:r>
        <w:rPr>
          <w:rFonts w:ascii="宋体" w:hAnsi="宋体"/>
          <w:bCs/>
          <w:sz w:val="24"/>
        </w:rPr>
        <w:t xml:space="preserve">或其</w:t>
      </w:r>
      <w:r>
        <w:rPr>
          <w:rFonts w:ascii="宋体" w:hAnsi="宋体"/>
          <w:bCs/>
          <w:sz w:val="24"/>
        </w:rPr>
        <w:t xml:space="preserve">高级管理人员、</w:t>
      </w:r>
      <w:r>
        <w:rPr>
          <w:rFonts w:ascii="宋体" w:hAnsi="宋体"/>
          <w:bCs/>
          <w:sz w:val="24"/>
        </w:rPr>
        <w:t xml:space="preserve">投资经理</w:t>
      </w:r>
      <w:r>
        <w:rPr>
          <w:rFonts w:ascii="宋体" w:hAnsi="宋体"/>
          <w:sz w:val="24"/>
        </w:rPr>
        <w:t xml:space="preserve">因集合计划管理业务相关行为受到重大</w:t>
      </w:r>
      <w:r>
        <w:rPr>
          <w:rFonts w:ascii="宋体" w:hAnsi="宋体"/>
          <w:bCs/>
          <w:sz w:val="24"/>
        </w:rPr>
        <w:t xml:space="preserve">行政处罚</w:t>
      </w:r>
      <w:r>
        <w:rPr>
          <w:rFonts w:ascii="宋体" w:hAnsi="宋体"/>
          <w:sz w:val="24"/>
        </w:rPr>
        <w:t xml:space="preserve">、刑事处罚</w:t>
      </w:r>
      <w:r>
        <w:rPr>
          <w:rFonts w:ascii="宋体" w:hAnsi="宋体"/>
          <w:bCs/>
          <w:sz w:val="24"/>
        </w:rPr>
        <w:t xml:space="preserve">，托管人</w:t>
      </w:r>
      <w:r>
        <w:rPr>
          <w:rFonts w:ascii="宋体" w:hAnsi="宋体"/>
          <w:sz w:val="24"/>
        </w:rPr>
        <w:t xml:space="preserve">或其专门</w:t>
      </w:r>
      <w:r>
        <w:rPr>
          <w:rFonts w:ascii="宋体" w:hAnsi="宋体"/>
          <w:bCs/>
          <w:sz w:val="24"/>
        </w:rPr>
        <w:t xml:space="preserve">托管部门负责人</w:t>
      </w:r>
      <w:r>
        <w:rPr>
          <w:rFonts w:ascii="宋体" w:hAnsi="宋体"/>
          <w:sz w:val="24"/>
        </w:rPr>
        <w:t xml:space="preserve">因托管业务相关行为受到重大</w:t>
      </w:r>
      <w:r>
        <w:rPr>
          <w:rFonts w:ascii="宋体" w:hAnsi="宋体"/>
          <w:bCs/>
          <w:sz w:val="24"/>
        </w:rPr>
        <w:t xml:space="preserve">行政处罚</w:t>
      </w:r>
      <w:r>
        <w:rPr>
          <w:rFonts w:ascii="宋体" w:hAnsi="宋体"/>
          <w:sz w:val="24"/>
        </w:rPr>
        <w:t xml:space="preserve">、刑事处罚</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12、</w:t>
      </w:r>
      <w:r>
        <w:rPr>
          <w:rFonts w:ascii="宋体" w:hAnsi="宋体"/>
          <w:bCs/>
          <w:sz w:val="24"/>
        </w:rPr>
        <w:t xml:space="preserve">管理人运用集合计划财产买卖管理人、托管人及其控股股东、实际控制人或者与其有重大利害关系的公司发行的证券或者承销期内承销的证券，或者从事其他重大关联交易事项，但中国证监会另有规定的除外</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13、</w:t>
      </w:r>
      <w:r>
        <w:rPr>
          <w:rFonts w:ascii="宋体" w:hAnsi="宋体"/>
          <w:bCs/>
          <w:sz w:val="24"/>
        </w:rPr>
        <w:t xml:space="preserve">集</w:t>
      </w:r>
      <w:r>
        <w:rPr>
          <w:rFonts w:ascii="宋体" w:hAnsi="宋体"/>
          <w:bCs/>
          <w:sz w:val="24"/>
        </w:rPr>
        <w:t xml:space="preserve">合计划</w:t>
      </w:r>
      <w:r>
        <w:rPr>
          <w:rFonts w:ascii="宋体" w:hAnsi="宋体"/>
          <w:bCs/>
          <w:sz w:val="24"/>
        </w:rPr>
        <w:t xml:space="preserve">收益分配事项；</w:t>
      </w:r>
      <w:r/>
    </w:p>
    <w:p>
      <w:pPr>
        <w:pStyle w:val="369"/>
        <w:ind w:firstLine="480"/>
        <w:snapToGrid w:val="1"/>
        <w:spacing w:lineRule="auto" w:line="360"/>
        <w:rPr>
          <w:rFonts w:ascii="宋体" w:hAnsi="宋体"/>
          <w:bCs/>
          <w:sz w:val="24"/>
        </w:rPr>
      </w:pPr>
      <w:r>
        <w:rPr>
          <w:rFonts w:ascii="宋体" w:hAnsi="宋体"/>
          <w:bCs/>
          <w:sz w:val="24"/>
        </w:rPr>
        <w:t xml:space="preserve">14、管理费、托管费</w:t>
      </w:r>
      <w:r>
        <w:rPr>
          <w:rFonts w:ascii="宋体" w:hAnsi="宋体"/>
          <w:bCs/>
          <w:sz w:val="24"/>
        </w:rPr>
        <w:t xml:space="preserve">、申购费、赎回</w:t>
      </w:r>
      <w:r>
        <w:rPr>
          <w:rFonts w:ascii="宋体" w:hAnsi="宋体"/>
          <w:bCs/>
          <w:sz w:val="24"/>
        </w:rPr>
        <w:t xml:space="preserve">费等费用计提标准、计提方式和费率发生变更；</w:t>
      </w:r>
      <w:r/>
    </w:p>
    <w:p>
      <w:pPr>
        <w:pStyle w:val="369"/>
        <w:ind w:firstLine="480"/>
        <w:snapToGrid w:val="1"/>
        <w:spacing w:lineRule="auto" w:line="360"/>
        <w:rPr>
          <w:rFonts w:ascii="宋体" w:hAnsi="宋体"/>
          <w:bCs/>
          <w:sz w:val="24"/>
        </w:rPr>
      </w:pPr>
      <w:r>
        <w:rPr>
          <w:rFonts w:ascii="宋体" w:hAnsi="宋体"/>
          <w:bCs/>
          <w:sz w:val="24"/>
        </w:rPr>
        <w:t xml:space="preserve">15、集合计划份额净值估值错误达集合计划份额净值百分之零点五；</w:t>
      </w:r>
      <w:r/>
    </w:p>
    <w:p>
      <w:pPr>
        <w:pStyle w:val="369"/>
        <w:ind w:firstLine="480"/>
        <w:snapToGrid w:val="1"/>
        <w:spacing w:lineRule="auto" w:line="360"/>
        <w:rPr>
          <w:rFonts w:ascii="宋体" w:hAnsi="宋体"/>
          <w:bCs/>
          <w:sz w:val="24"/>
        </w:rPr>
      </w:pPr>
      <w:r>
        <w:rPr>
          <w:rFonts w:ascii="宋体" w:hAnsi="宋体"/>
          <w:bCs/>
          <w:sz w:val="24"/>
        </w:rPr>
        <w:t xml:space="preserve">16、本集合计划</w:t>
      </w:r>
      <w:r>
        <w:rPr>
          <w:rFonts w:ascii="宋体" w:hAnsi="宋体"/>
          <w:sz w:val="24"/>
        </w:rPr>
        <w:t xml:space="preserve">开始办理申购、赎回</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17、本集合计划发生巨额赎回并</w:t>
      </w:r>
      <w:r>
        <w:rPr>
          <w:rFonts w:ascii="宋体" w:hAnsi="宋体"/>
          <w:sz w:val="24"/>
        </w:rPr>
        <w:t xml:space="preserve">延期办理</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18、</w:t>
      </w:r>
      <w:r>
        <w:rPr>
          <w:rFonts w:ascii="宋体" w:hAnsi="宋体"/>
          <w:sz w:val="24"/>
        </w:rPr>
        <w:t xml:space="preserve">本集合计划</w:t>
      </w:r>
      <w:r>
        <w:rPr>
          <w:rFonts w:ascii="宋体" w:hAnsi="宋体"/>
          <w:bCs/>
          <w:sz w:val="24"/>
        </w:rPr>
        <w:t xml:space="preserve">连续发生巨额赎回并暂停接受赎回申请或延缓支付赎回款项；</w:t>
      </w:r>
      <w:r/>
    </w:p>
    <w:p>
      <w:pPr>
        <w:pStyle w:val="369"/>
        <w:ind w:firstLine="480"/>
        <w:snapToGrid w:val="1"/>
        <w:spacing w:lineRule="auto" w:line="360"/>
        <w:rPr>
          <w:rFonts w:ascii="宋体" w:hAnsi="宋体"/>
          <w:bCs/>
          <w:sz w:val="24"/>
        </w:rPr>
      </w:pPr>
      <w:r>
        <w:rPr>
          <w:rFonts w:ascii="宋体" w:hAnsi="宋体"/>
          <w:bCs/>
          <w:sz w:val="24"/>
        </w:rPr>
        <w:t xml:space="preserve">19、</w:t>
      </w:r>
      <w:r>
        <w:rPr>
          <w:rFonts w:ascii="宋体" w:hAnsi="宋体"/>
          <w:bCs/>
          <w:sz w:val="24"/>
        </w:rPr>
        <w:t xml:space="preserve">本集合计划暂停接受</w:t>
      </w:r>
      <w:r>
        <w:rPr>
          <w:rFonts w:ascii="宋体" w:hAnsi="宋体"/>
          <w:bCs/>
          <w:sz w:val="24"/>
        </w:rPr>
        <w:t xml:space="preserve">申购、</w:t>
      </w:r>
      <w:r>
        <w:rPr>
          <w:rFonts w:ascii="宋体" w:hAnsi="宋体"/>
          <w:bCs/>
          <w:sz w:val="24"/>
        </w:rPr>
        <w:t xml:space="preserve">赎回申请</w:t>
      </w:r>
      <w:r>
        <w:rPr>
          <w:rFonts w:ascii="宋体" w:hAnsi="宋体"/>
          <w:sz w:val="24"/>
        </w:rPr>
        <w:t xml:space="preserve">或</w:t>
      </w:r>
      <w:r>
        <w:rPr>
          <w:rFonts w:ascii="宋体" w:hAnsi="宋体"/>
          <w:sz w:val="24"/>
        </w:rPr>
        <w:t xml:space="preserve">重新接受申购、赎回</w:t>
      </w:r>
      <w:r>
        <w:rPr>
          <w:rFonts w:ascii="宋体" w:hAnsi="宋体"/>
          <w:sz w:val="24"/>
        </w:rPr>
        <w:t xml:space="preserve">申请</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20</w:t>
      </w:r>
      <w:r>
        <w:rPr>
          <w:rFonts w:ascii="宋体" w:hAnsi="宋体"/>
          <w:bCs/>
          <w:sz w:val="24"/>
        </w:rPr>
        <w:t xml:space="preserve">、发生涉及</w:t>
      </w:r>
      <w:r>
        <w:rPr>
          <w:rFonts w:ascii="宋体" w:hAnsi="宋体"/>
          <w:bCs/>
          <w:sz w:val="24"/>
        </w:rPr>
        <w:t xml:space="preserve">集合计划</w:t>
      </w:r>
      <w:r>
        <w:rPr>
          <w:rFonts w:ascii="宋体" w:hAnsi="宋体"/>
          <w:bCs/>
          <w:sz w:val="24"/>
        </w:rPr>
        <w:t xml:space="preserve">申购、赎回事项调整或潜在影响投资者赎回等重大事项时；</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1</w:t>
      </w:r>
      <w:r>
        <w:rPr>
          <w:rFonts w:ascii="宋体" w:hAnsi="宋体"/>
          <w:bCs/>
          <w:sz w:val="24"/>
        </w:rPr>
        <w:t xml:space="preserve">、管理人采用摆动定价机制进行估值</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2、</w:t>
      </w:r>
      <w:r>
        <w:rPr>
          <w:rFonts w:ascii="宋体" w:hAnsi="宋体"/>
          <w:bCs/>
          <w:sz w:val="24"/>
        </w:rPr>
        <w:t xml:space="preserve">本集合计</w:t>
      </w:r>
      <w:r>
        <w:rPr>
          <w:rFonts w:ascii="宋体" w:hAnsi="宋体"/>
          <w:bCs/>
          <w:sz w:val="24"/>
        </w:rPr>
        <w:t xml:space="preserve">划调整份额类别设置；</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3、</w:t>
      </w:r>
      <w:r>
        <w:rPr>
          <w:rFonts w:ascii="宋体" w:hAnsi="宋体"/>
          <w:bCs/>
          <w:sz w:val="24"/>
        </w:rPr>
        <w:t xml:space="preserve">集合计划</w:t>
      </w:r>
      <w:r>
        <w:rPr>
          <w:rFonts w:ascii="宋体" w:hAnsi="宋体"/>
          <w:bCs/>
          <w:sz w:val="24"/>
        </w:rPr>
        <w:t xml:space="preserve">信息披露义务人认为可能对</w:t>
      </w:r>
      <w:r>
        <w:rPr>
          <w:rFonts w:ascii="宋体" w:hAnsi="宋体"/>
          <w:bCs/>
          <w:sz w:val="24"/>
        </w:rPr>
        <w:t xml:space="preserve">集合计划份额</w:t>
      </w:r>
      <w:r>
        <w:rPr>
          <w:rFonts w:ascii="宋体" w:hAnsi="宋体"/>
          <w:bCs/>
          <w:sz w:val="24"/>
        </w:rPr>
        <w:t xml:space="preserve">持有人权益或者集合计划份额的价格产生重大影响的其他事项或</w:t>
      </w:r>
      <w:r>
        <w:rPr>
          <w:rFonts w:ascii="宋体" w:hAnsi="宋体"/>
          <w:bCs/>
          <w:sz w:val="24"/>
        </w:rPr>
        <w:t xml:space="preserve">中国证监会规定的其他事项。</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七</w:t>
      </w:r>
      <w:r>
        <w:rPr>
          <w:rFonts w:ascii="宋体" w:hAnsi="宋体"/>
          <w:bCs/>
          <w:sz w:val="24"/>
        </w:rPr>
        <w:t xml:space="preserve">）澄清公告</w:t>
      </w:r>
      <w:r/>
    </w:p>
    <w:p>
      <w:pPr>
        <w:pStyle w:val="369"/>
        <w:ind w:firstLine="480"/>
        <w:snapToGrid w:val="1"/>
        <w:spacing w:lineRule="auto" w:line="360"/>
        <w:rPr>
          <w:rFonts w:ascii="宋体" w:hAnsi="宋体"/>
          <w:bCs/>
          <w:sz w:val="24"/>
        </w:rPr>
      </w:pPr>
      <w:r>
        <w:rPr>
          <w:rFonts w:ascii="宋体" w:hAnsi="宋体"/>
          <w:bCs/>
          <w:sz w:val="24"/>
        </w:rPr>
        <w:t xml:space="preserve">在《集合计划合同》存续期限内，任何公共</w:t>
      </w:r>
      <w:r>
        <w:rPr>
          <w:rFonts w:ascii="宋体" w:hAnsi="宋体"/>
          <w:bCs/>
          <w:sz w:val="24"/>
        </w:rPr>
        <w:t xml:space="preserve">媒介</w:t>
      </w:r>
      <w:r>
        <w:rPr>
          <w:rFonts w:ascii="宋体" w:hAnsi="宋体"/>
          <w:bCs/>
          <w:sz w:val="24"/>
        </w:rPr>
        <w:t xml:space="preserve">中出现的或者在市场上流传的消息可能对</w:t>
      </w:r>
      <w:r>
        <w:rPr>
          <w:rFonts w:ascii="宋体" w:hAnsi="宋体"/>
          <w:bCs/>
          <w:sz w:val="24"/>
        </w:rPr>
        <w:t xml:space="preserve">集合计划</w:t>
      </w:r>
      <w:r>
        <w:rPr>
          <w:rFonts w:ascii="宋体" w:hAnsi="宋体"/>
          <w:bCs/>
          <w:sz w:val="24"/>
        </w:rPr>
        <w:t xml:space="preserve">份额价格产生误导性影响或者引起较大波动</w:t>
      </w:r>
      <w:r>
        <w:rPr>
          <w:rFonts w:ascii="宋体" w:hAnsi="宋体"/>
          <w:sz w:val="24"/>
        </w:rPr>
        <w:t xml:space="preserve">，以及可能损害集合计划份额持有人权益</w:t>
      </w:r>
      <w:r>
        <w:rPr>
          <w:rFonts w:ascii="宋体" w:hAnsi="宋体"/>
          <w:bCs/>
          <w:sz w:val="24"/>
        </w:rPr>
        <w:t xml:space="preserve">的，相关信息披露义务人知悉后应当立即对该消息进行公开澄清，并将有关情况立即报告中国证监会。</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八</w:t>
      </w:r>
      <w:r>
        <w:rPr>
          <w:rFonts w:ascii="宋体" w:hAnsi="宋体"/>
          <w:bCs/>
          <w:sz w:val="24"/>
        </w:rPr>
        <w:t xml:space="preserve">）集合计划份额持有人大会决议</w:t>
      </w:r>
      <w:r/>
    </w:p>
    <w:p>
      <w:pPr>
        <w:pStyle w:val="369"/>
        <w:ind w:firstLine="480"/>
        <w:snapToGrid w:val="1"/>
        <w:spacing w:lineRule="auto" w:line="360"/>
        <w:rPr>
          <w:rFonts w:ascii="宋体" w:hAnsi="宋体"/>
          <w:bCs/>
          <w:sz w:val="24"/>
        </w:rPr>
      </w:pPr>
      <w:r>
        <w:rPr>
          <w:rFonts w:ascii="宋体" w:hAnsi="宋体"/>
          <w:bCs/>
          <w:sz w:val="24"/>
        </w:rPr>
        <w:t xml:space="preserve">集合计划份额持有人大会决定的事项，应当依法报</w:t>
      </w:r>
      <w:r>
        <w:rPr>
          <w:rFonts w:ascii="宋体" w:hAnsi="宋体"/>
          <w:bCs/>
          <w:sz w:val="24"/>
        </w:rPr>
        <w:t xml:space="preserve">中国证监会</w:t>
      </w:r>
      <w:r>
        <w:rPr>
          <w:rFonts w:ascii="宋体" w:hAnsi="宋体"/>
          <w:bCs/>
          <w:sz w:val="24"/>
        </w:rPr>
        <w:t xml:space="preserve">备案，并予以公告。</w:t>
      </w:r>
      <w:r/>
    </w:p>
    <w:p>
      <w:pPr>
        <w:pStyle w:val="369"/>
        <w:ind w:firstLine="480"/>
        <w:snapToGrid w:val="1"/>
        <w:spacing w:lineRule="auto" w:line="360"/>
        <w:rPr>
          <w:rFonts w:ascii="宋体" w:hAnsi="宋体"/>
          <w:bCs/>
          <w:sz w:val="24"/>
        </w:rPr>
      </w:pPr>
      <w:r>
        <w:rPr>
          <w:rFonts w:ascii="宋体" w:hAnsi="宋体"/>
          <w:bCs/>
          <w:sz w:val="24"/>
        </w:rPr>
        <w:t xml:space="preserve">（九）投资资产支持证券信息披露</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管理人应在年度报告及中期报告中披露</w:t>
      </w:r>
      <w:r>
        <w:rPr>
          <w:rFonts w:ascii="宋体" w:hAnsi="宋体"/>
          <w:bCs/>
          <w:sz w:val="24"/>
        </w:rPr>
        <w:t xml:space="preserve">集合计划</w:t>
      </w:r>
      <w:r>
        <w:rPr>
          <w:rFonts w:ascii="宋体" w:hAnsi="宋体"/>
          <w:bCs/>
          <w:sz w:val="24"/>
        </w:rPr>
        <w:t xml:space="preserve">持有的资产支持证券总额、资产支持证券市值占集合计划净资产的比例和报告期内所有的资产支持证券明细。</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管理人应在季度报告中披露</w:t>
      </w:r>
      <w:r>
        <w:rPr>
          <w:rFonts w:ascii="宋体" w:hAnsi="宋体"/>
          <w:bCs/>
          <w:sz w:val="24"/>
        </w:rPr>
        <w:t xml:space="preserve">集合计划</w:t>
      </w:r>
      <w:r>
        <w:rPr>
          <w:rFonts w:ascii="宋体" w:hAnsi="宋体"/>
          <w:bCs/>
          <w:sz w:val="24"/>
        </w:rPr>
        <w:t xml:space="preserve">持有的资产支持证券总额、资产支持证券市值占集合计划净资产的比例和报告期末按市值占集合计划净资产比例大小排序的前10名资产支持证券明细。</w:t>
      </w:r>
      <w:r/>
    </w:p>
    <w:p>
      <w:pPr>
        <w:pStyle w:val="369"/>
        <w:ind w:firstLine="480"/>
        <w:snapToGrid w:val="1"/>
        <w:spacing w:lineRule="auto" w:line="360"/>
        <w:rPr>
          <w:rFonts w:ascii="宋体" w:hAnsi="宋体"/>
          <w:bCs/>
          <w:sz w:val="24"/>
        </w:rPr>
      </w:pPr>
      <w:r>
        <w:rPr>
          <w:rFonts w:ascii="宋体" w:hAnsi="宋体"/>
          <w:bCs/>
          <w:sz w:val="24"/>
        </w:rPr>
        <w:t xml:space="preserve">（十）投资股指期货和国债期货信息披露</w:t>
      </w:r>
      <w:r/>
    </w:p>
    <w:p>
      <w:pPr>
        <w:pStyle w:val="369"/>
        <w:ind w:firstLine="480"/>
        <w:snapToGrid w:val="1"/>
        <w:spacing w:lineRule="auto" w:line="360"/>
        <w:rPr>
          <w:rFonts w:ascii="宋体" w:hAnsi="宋体"/>
          <w:bCs/>
          <w:sz w:val="24"/>
        </w:rPr>
      </w:pPr>
      <w:r>
        <w:rPr>
          <w:rFonts w:ascii="宋体" w:hAnsi="宋体"/>
          <w:bCs/>
          <w:sz w:val="24"/>
        </w:rPr>
        <w:t xml:space="preserve">管理人应在季度报告、中期报告、年度报告等定期报告和招募说明书（更新）等文件中披露</w:t>
      </w:r>
      <w:r>
        <w:rPr>
          <w:rFonts w:ascii="宋体" w:hAnsi="宋体"/>
          <w:bCs/>
          <w:sz w:val="24"/>
        </w:rPr>
        <w:t xml:space="preserve">股指期货和</w:t>
      </w:r>
      <w:r>
        <w:rPr>
          <w:rFonts w:ascii="宋体" w:hAnsi="宋体"/>
          <w:bCs/>
          <w:sz w:val="24"/>
        </w:rPr>
        <w:t xml:space="preserve">国债期货交易情况，包括投</w:t>
      </w:r>
      <w:r>
        <w:rPr>
          <w:rFonts w:ascii="宋体" w:hAnsi="宋体"/>
          <w:bCs/>
          <w:sz w:val="24"/>
        </w:rPr>
        <w:t xml:space="preserve">资政策、持仓情况、损益情况、风险指标等，并充分揭示</w:t>
      </w:r>
      <w:r>
        <w:rPr>
          <w:rFonts w:ascii="宋体" w:hAnsi="宋体"/>
          <w:bCs/>
          <w:sz w:val="24"/>
        </w:rPr>
        <w:t xml:space="preserve">股指期货和</w:t>
      </w:r>
      <w:r>
        <w:rPr>
          <w:rFonts w:ascii="宋体" w:hAnsi="宋体"/>
          <w:bCs/>
          <w:sz w:val="24"/>
        </w:rPr>
        <w:t xml:space="preserve">国债期货交易对集合计划总体风险的影响以及是否符合既定的投资政策和投资目标等。</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（十一）实施侧袋机制期间的信息披露</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本集合计划实施侧袋机制的，相关信息披露义务人应当根据法律法规、本合同和招募说明书的规定进行信息披露，详见招募说明书的规定。</w:t>
      </w:r>
      <w:r/>
    </w:p>
    <w:p>
      <w:pPr>
        <w:pStyle w:val="369"/>
        <w:ind w:firstLine="480"/>
        <w:snapToGrid w:val="1"/>
        <w:spacing w:lineRule="auto" w:line="360"/>
        <w:rPr>
          <w:rFonts w:ascii="宋体" w:hAnsi="宋体"/>
          <w:bCs/>
          <w:sz w:val="24"/>
        </w:rPr>
      </w:pPr>
      <w:r>
        <w:rPr>
          <w:rFonts w:ascii="宋体" w:hAnsi="宋体"/>
          <w:bCs/>
          <w:sz w:val="24"/>
        </w:rPr>
        <w:t xml:space="preserve">（十二）</w:t>
      </w:r>
      <w:r>
        <w:rPr>
          <w:rFonts w:ascii="宋体" w:hAnsi="宋体"/>
          <w:bCs/>
          <w:sz w:val="24"/>
        </w:rPr>
        <w:t xml:space="preserve">中国证监会规定的其他信息。</w:t>
      </w:r>
      <w:r/>
    </w:p>
    <w:p>
      <w:pPr>
        <w:pStyle w:val="369"/>
        <w:ind w:firstLine="480"/>
        <w:snapToGrid w:val="1"/>
        <w:spacing w:lineRule="auto" w:line="360"/>
        <w:rPr>
          <w:rFonts w:ascii="宋体" w:hAnsi="宋体"/>
          <w:bCs/>
          <w:sz w:val="24"/>
        </w:rPr>
      </w:pPr>
      <w:r>
        <w:rPr>
          <w:rFonts w:ascii="宋体" w:hAnsi="宋体"/>
          <w:bCs/>
          <w:sz w:val="24"/>
        </w:rPr>
        <w:t xml:space="preserve">六、信息披露事务管理</w:t>
      </w:r>
      <w:r/>
    </w:p>
    <w:p>
      <w:pPr>
        <w:pStyle w:val="369"/>
        <w:ind w:firstLine="480"/>
        <w:snapToGrid w:val="1"/>
        <w:spacing w:lineRule="auto" w:line="360"/>
        <w:rPr>
          <w:rFonts w:ascii="宋体" w:hAnsi="宋体"/>
          <w:bCs/>
          <w:sz w:val="24"/>
        </w:rPr>
      </w:pPr>
      <w:r>
        <w:rPr>
          <w:rFonts w:ascii="宋体" w:hAnsi="宋体"/>
          <w:bCs/>
          <w:sz w:val="24"/>
        </w:rPr>
        <w:t xml:space="preserve">管理人、托管人应当建立健全信息披露管理制度，指定</w:t>
      </w:r>
      <w:r>
        <w:rPr>
          <w:rFonts w:ascii="宋体" w:hAnsi="宋体"/>
          <w:sz w:val="24"/>
        </w:rPr>
        <w:t xml:space="preserve">专门部门及高级管理人员</w:t>
      </w:r>
      <w:r>
        <w:rPr>
          <w:rFonts w:ascii="宋体" w:hAnsi="宋体"/>
          <w:bCs/>
          <w:sz w:val="24"/>
        </w:rPr>
        <w:t xml:space="preserve">负责管理信息披露事务。</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信息披露义务人公开披露</w:t>
      </w:r>
      <w:r>
        <w:rPr>
          <w:rFonts w:ascii="宋体" w:hAnsi="宋体"/>
          <w:bCs/>
          <w:sz w:val="24"/>
        </w:rPr>
        <w:t xml:space="preserve">集合计划</w:t>
      </w:r>
      <w:r>
        <w:rPr>
          <w:rFonts w:ascii="宋体" w:hAnsi="宋体"/>
          <w:bCs/>
          <w:sz w:val="24"/>
        </w:rPr>
        <w:t xml:space="preserve">信息，应当符合中国证监会</w:t>
      </w:r>
      <w:r>
        <w:rPr>
          <w:rFonts w:ascii="宋体" w:hAnsi="宋体"/>
          <w:bCs/>
          <w:sz w:val="24"/>
        </w:rPr>
        <w:t xml:space="preserve">相关</w:t>
      </w:r>
      <w:r>
        <w:rPr>
          <w:rFonts w:ascii="宋体" w:hAnsi="宋体"/>
          <w:bCs/>
          <w:sz w:val="24"/>
        </w:rPr>
        <w:t xml:space="preserve">集合计划</w:t>
      </w:r>
      <w:r>
        <w:rPr>
          <w:rFonts w:ascii="宋体" w:hAnsi="宋体"/>
          <w:bCs/>
          <w:sz w:val="24"/>
        </w:rPr>
        <w:t xml:space="preserve">信息披露内容与格式准则</w:t>
      </w:r>
      <w:r>
        <w:rPr>
          <w:rFonts w:ascii="宋体" w:hAnsi="宋体"/>
          <w:bCs/>
          <w:sz w:val="24"/>
        </w:rPr>
        <w:t xml:space="preserve">等法规</w:t>
      </w:r>
      <w:r>
        <w:rPr>
          <w:rFonts w:ascii="宋体" w:hAnsi="宋体"/>
          <w:bCs/>
          <w:sz w:val="24"/>
        </w:rPr>
        <w:t xml:space="preserve">的规定。</w:t>
      </w:r>
      <w:r/>
    </w:p>
    <w:p>
      <w:pPr>
        <w:pStyle w:val="369"/>
        <w:ind w:firstLine="480"/>
        <w:snapToGrid w:val="1"/>
        <w:spacing w:lineRule="auto" w:line="360"/>
        <w:rPr>
          <w:rFonts w:ascii="宋体" w:hAnsi="宋体"/>
          <w:bCs/>
          <w:sz w:val="24"/>
        </w:rPr>
      </w:pPr>
      <w:r>
        <w:rPr>
          <w:rFonts w:ascii="宋体" w:hAnsi="宋体"/>
          <w:bCs/>
          <w:sz w:val="24"/>
        </w:rPr>
        <w:t xml:space="preserve">托管人应当按照相关法律法规、中国证监会的规定和《集合计划合同》的约定，对管理人编制的集合计划资产净值、集合计划份额净值、</w:t>
      </w:r>
      <w:r>
        <w:rPr>
          <w:rFonts w:ascii="宋体" w:hAnsi="宋体"/>
          <w:bCs/>
          <w:sz w:val="24"/>
        </w:rPr>
        <w:t xml:space="preserve">集合计划</w:t>
      </w:r>
      <w:r>
        <w:rPr>
          <w:rFonts w:ascii="宋体" w:hAnsi="宋体"/>
          <w:bCs/>
          <w:sz w:val="24"/>
        </w:rPr>
        <w:t xml:space="preserve">份额申购赎回价格、定期报告</w:t>
      </w:r>
      <w:r>
        <w:rPr>
          <w:rFonts w:ascii="宋体" w:hAnsi="宋体"/>
          <w:bCs/>
          <w:sz w:val="24"/>
        </w:rPr>
        <w:t xml:space="preserve">、</w:t>
      </w:r>
      <w:r>
        <w:rPr>
          <w:rFonts w:ascii="宋体" w:hAnsi="宋体"/>
          <w:bCs/>
          <w:sz w:val="24"/>
        </w:rPr>
        <w:t xml:space="preserve">更新的招募说明书</w:t>
      </w:r>
      <w:r>
        <w:rPr>
          <w:rFonts w:ascii="宋体" w:hAnsi="宋体"/>
          <w:bCs/>
          <w:sz w:val="24"/>
        </w:rPr>
        <w:t xml:space="preserve">、产品资料概要、集合计划清算报告</w:t>
      </w:r>
      <w:r>
        <w:rPr>
          <w:rFonts w:ascii="宋体" w:hAnsi="宋体"/>
          <w:bCs/>
          <w:sz w:val="24"/>
        </w:rPr>
        <w:t xml:space="preserve">等相关</w:t>
      </w:r>
      <w:r>
        <w:rPr>
          <w:rFonts w:ascii="宋体" w:hAnsi="宋体"/>
          <w:bCs/>
          <w:sz w:val="24"/>
        </w:rPr>
        <w:t xml:space="preserve">集合计划</w:t>
      </w:r>
      <w:r>
        <w:rPr>
          <w:rFonts w:ascii="宋体" w:hAnsi="宋体"/>
          <w:bCs/>
          <w:sz w:val="24"/>
        </w:rPr>
        <w:t xml:space="preserve">信息进行复核、审查，并向管理人</w:t>
      </w:r>
      <w:r>
        <w:rPr>
          <w:rFonts w:ascii="宋体" w:hAnsi="宋体"/>
          <w:bCs/>
          <w:sz w:val="24"/>
        </w:rPr>
        <w:t xml:space="preserve">进行</w:t>
      </w:r>
      <w:r>
        <w:rPr>
          <w:rFonts w:ascii="宋体" w:hAnsi="宋体"/>
          <w:bCs/>
          <w:sz w:val="24"/>
        </w:rPr>
        <w:t xml:space="preserve">书面</w:t>
      </w:r>
      <w:r>
        <w:rPr>
          <w:rFonts w:ascii="宋体" w:hAnsi="宋体"/>
          <w:bCs/>
          <w:sz w:val="24"/>
        </w:rPr>
        <w:t xml:space="preserve">或电子</w:t>
      </w:r>
      <w:r>
        <w:rPr>
          <w:rFonts w:ascii="宋体" w:hAnsi="宋体"/>
          <w:bCs/>
          <w:sz w:val="24"/>
        </w:rPr>
        <w:t xml:space="preserve">确认。</w:t>
      </w:r>
      <w:r/>
    </w:p>
    <w:p>
      <w:pPr>
        <w:pStyle w:val="369"/>
        <w:ind w:left="420"/>
        <w:snapToGrid w:val="1"/>
        <w:spacing w:lineRule="auto" w:line="360"/>
        <w:rPr>
          <w:rFonts w:ascii="宋体" w:hAnsi="宋体"/>
          <w:bCs/>
          <w:sz w:val="24"/>
        </w:rPr>
      </w:pPr>
      <w:r>
        <w:rPr>
          <w:rFonts w:ascii="宋体" w:hAnsi="宋体"/>
          <w:bCs/>
          <w:sz w:val="24"/>
        </w:rPr>
        <w:t xml:space="preserve">管理人、托管人应当在规定</w:t>
      </w:r>
      <w:r>
        <w:rPr>
          <w:rFonts w:ascii="宋体" w:hAnsi="宋体"/>
          <w:bCs/>
          <w:sz w:val="24"/>
        </w:rPr>
        <w:t xml:space="preserve">报刊</w:t>
      </w:r>
      <w:r>
        <w:rPr>
          <w:rFonts w:ascii="宋体" w:hAnsi="宋体"/>
          <w:bCs/>
          <w:sz w:val="24"/>
        </w:rPr>
        <w:t xml:space="preserve">中选择披露信息的报刊。</w:t>
      </w:r>
      <w:r>
        <w:rPr>
          <w:rFonts w:ascii="宋体" w:hAnsi="宋体"/>
          <w:bCs/>
          <w:sz w:val="24"/>
        </w:rPr>
      </w:r>
      <w:r/>
    </w:p>
    <w:p>
      <w:pPr>
        <w:pStyle w:val="369"/>
        <w:ind w:firstLine="480"/>
        <w:snapToGrid w:val="1"/>
        <w:spacing w:lineRule="auto" w:line="360"/>
        <w:rPr>
          <w:rFonts w:ascii="宋体" w:hAnsi="宋体"/>
          <w:sz w:val="24"/>
        </w:rPr>
      </w:pPr>
      <w:r/>
      <w:bookmarkStart w:id="365" w:name="_Hlk57636151"/>
      <w:r>
        <w:rPr>
          <w:rFonts w:ascii="宋体" w:hAnsi="宋体"/>
          <w:bCs/>
          <w:sz w:val="24"/>
        </w:rPr>
        <w:t xml:space="preserve">管理人、托管人</w:t>
      </w:r>
      <w:bookmarkEnd w:id="365"/>
      <w:r>
        <w:rPr>
          <w:rFonts w:ascii="宋体" w:hAnsi="宋体"/>
          <w:sz w:val="24"/>
        </w:rPr>
        <w:t xml:space="preserve">应当向中国证监会基金电子披露网站报送拟披露的集合计划信息，并保证相关报送信息的真实、准确、完整、及时。</w:t>
      </w:r>
      <w:r>
        <w:rPr>
          <w:rFonts w:ascii="宋体" w:hAnsi="宋体"/>
          <w:sz w:val="24"/>
        </w:rPr>
      </w:r>
      <w:r/>
    </w:p>
    <w:p>
      <w:pPr>
        <w:pStyle w:val="369"/>
        <w:ind w:firstLine="480"/>
        <w:snapToGrid w:val="1"/>
        <w:spacing w:lineRule="auto" w:line="360"/>
        <w:rPr>
          <w:rFonts w:ascii="宋体" w:hAnsi="宋体"/>
          <w:bCs/>
          <w:sz w:val="24"/>
        </w:rPr>
      </w:pPr>
      <w:r>
        <w:rPr>
          <w:rFonts w:ascii="宋体" w:hAnsi="宋体"/>
          <w:bCs/>
          <w:sz w:val="24"/>
        </w:rPr>
        <w:t xml:space="preserve">管理人、托管人除依法在</w:t>
      </w:r>
      <w:r>
        <w:rPr>
          <w:rFonts w:ascii="宋体" w:hAnsi="宋体"/>
          <w:bCs/>
          <w:sz w:val="24"/>
        </w:rPr>
        <w:t xml:space="preserve">规定媒介上披露信息外，还可以根据需要在其他公共</w:t>
      </w:r>
      <w:r>
        <w:rPr>
          <w:rFonts w:ascii="宋体" w:hAnsi="宋体"/>
          <w:bCs/>
          <w:sz w:val="24"/>
        </w:rPr>
        <w:t xml:space="preserve">媒介</w:t>
      </w:r>
      <w:r>
        <w:rPr>
          <w:rFonts w:ascii="宋体" w:hAnsi="宋体"/>
          <w:bCs/>
          <w:sz w:val="24"/>
        </w:rPr>
        <w:t xml:space="preserve">披露信息，但是其他公共</w:t>
      </w:r>
      <w:r>
        <w:rPr>
          <w:rFonts w:ascii="宋体" w:hAnsi="宋体"/>
          <w:bCs/>
          <w:sz w:val="24"/>
        </w:rPr>
        <w:t xml:space="preserve">媒介</w:t>
      </w:r>
      <w:r>
        <w:rPr>
          <w:rFonts w:ascii="宋体" w:hAnsi="宋体"/>
          <w:bCs/>
          <w:sz w:val="24"/>
        </w:rPr>
        <w:t xml:space="preserve">不得早于规定媒介披露信息，并且在不同媒介上披露同一信息的内容应当一致。</w:t>
      </w:r>
      <w:r/>
    </w:p>
    <w:p>
      <w:pPr>
        <w:pStyle w:val="369"/>
        <w:ind w:firstLine="480"/>
        <w:snapToGrid w:val="1"/>
        <w:spacing w:lineRule="auto" w:line="360"/>
        <w:rPr>
          <w:rFonts w:ascii="宋体" w:hAnsi="宋体"/>
          <w:bCs/>
          <w:sz w:val="24"/>
        </w:rPr>
      </w:pPr>
      <w:r>
        <w:rPr>
          <w:rFonts w:ascii="宋体" w:hAnsi="宋体"/>
          <w:bCs/>
          <w:sz w:val="24"/>
        </w:rPr>
        <w:t xml:space="preserve">为</w:t>
      </w:r>
      <w:r>
        <w:rPr>
          <w:rFonts w:ascii="宋体" w:hAnsi="宋体"/>
          <w:bCs/>
          <w:sz w:val="24"/>
        </w:rPr>
        <w:t xml:space="preserve">集合计划</w:t>
      </w:r>
      <w:r>
        <w:rPr>
          <w:rFonts w:ascii="宋体" w:hAnsi="宋体"/>
          <w:bCs/>
          <w:sz w:val="24"/>
        </w:rPr>
        <w:t xml:space="preserve">信息披露义务人公开披露的</w:t>
      </w:r>
      <w:r>
        <w:rPr>
          <w:rFonts w:ascii="宋体" w:hAnsi="宋体"/>
          <w:bCs/>
          <w:sz w:val="24"/>
        </w:rPr>
        <w:t xml:space="preserve">集合计划</w:t>
      </w:r>
      <w:r>
        <w:rPr>
          <w:rFonts w:ascii="宋体" w:hAnsi="宋体"/>
          <w:bCs/>
          <w:sz w:val="24"/>
        </w:rPr>
        <w:t xml:space="preserve">信息出具审计报告、法律意见书的专业机构，应当制作工作底稿，并将相关档案至少保存到《集合计划合同》终止后</w:t>
      </w:r>
      <w:r>
        <w:rPr>
          <w:rFonts w:ascii="宋体" w:hAnsi="宋体"/>
          <w:bCs/>
          <w:sz w:val="24"/>
        </w:rPr>
        <w:t xml:space="preserve">10</w:t>
      </w:r>
      <w:r>
        <w:rPr>
          <w:rFonts w:ascii="宋体" w:hAnsi="宋体"/>
          <w:bCs/>
          <w:sz w:val="24"/>
        </w:rPr>
        <w:t xml:space="preserve">年。</w:t>
      </w:r>
      <w:r/>
    </w:p>
    <w:p>
      <w:pPr>
        <w:pStyle w:val="369"/>
        <w:ind w:firstLine="480"/>
        <w:snapToGrid w:val="1"/>
        <w:spacing w:lineRule="auto" w:line="360"/>
        <w:rPr>
          <w:rFonts w:ascii="宋体" w:hAnsi="宋体"/>
          <w:bCs/>
          <w:sz w:val="24"/>
        </w:rPr>
      </w:pPr>
      <w:r>
        <w:rPr>
          <w:rFonts w:ascii="宋体" w:hAnsi="宋体"/>
          <w:bCs/>
          <w:sz w:val="24"/>
        </w:rPr>
        <w:t xml:space="preserve">七、信息披露文件的存放与查阅</w:t>
      </w:r>
      <w:r/>
    </w:p>
    <w:p>
      <w:pPr>
        <w:pStyle w:val="369"/>
        <w:ind w:firstLine="480"/>
        <w:snapToGrid w:val="1"/>
        <w:spacing w:lineRule="auto" w:line="360"/>
        <w:rPr>
          <w:rFonts w:ascii="宋体" w:hAnsi="宋体"/>
          <w:bCs/>
          <w:sz w:val="24"/>
        </w:rPr>
      </w:pPr>
      <w:r>
        <w:rPr>
          <w:rFonts w:ascii="宋体" w:hAnsi="宋体"/>
          <w:sz w:val="24"/>
        </w:rPr>
        <w:t xml:space="preserve">依法必须披露的信息发布</w:t>
      </w:r>
      <w:r>
        <w:rPr>
          <w:rFonts w:ascii="宋体" w:hAnsi="宋体"/>
          <w:bCs/>
          <w:sz w:val="24"/>
        </w:rPr>
        <w:t xml:space="preserve">后，管理人、托管</w:t>
      </w:r>
      <w:r>
        <w:rPr>
          <w:rFonts w:ascii="宋体" w:hAnsi="宋体"/>
          <w:bCs/>
          <w:sz w:val="24"/>
        </w:rPr>
        <w:t xml:space="preserve">人应当按照相关法律法规规定将信息置备于各自住所</w:t>
      </w:r>
      <w:r>
        <w:rPr>
          <w:rFonts w:ascii="宋体" w:hAnsi="宋体"/>
          <w:bCs/>
          <w:sz w:val="24"/>
        </w:rPr>
        <w:t xml:space="preserve">，供</w:t>
      </w:r>
      <w:r>
        <w:rPr>
          <w:rFonts w:ascii="宋体" w:hAnsi="宋体"/>
          <w:bCs/>
          <w:sz w:val="24"/>
        </w:rPr>
        <w:t xml:space="preserve">社会</w:t>
      </w:r>
      <w:r>
        <w:rPr>
          <w:rFonts w:ascii="宋体" w:hAnsi="宋体"/>
          <w:bCs/>
          <w:sz w:val="24"/>
        </w:rPr>
        <w:t xml:space="preserve">公众查阅、复制。</w:t>
      </w:r>
      <w:r/>
    </w:p>
    <w:p>
      <w:pPr>
        <w:pStyle w:val="369"/>
        <w:ind w:firstLine="480"/>
        <w:snapToGrid w:val="1"/>
        <w:spacing w:lineRule="auto" w:line="360"/>
        <w:rPr>
          <w:rFonts w:ascii="宋体" w:hAnsi="宋体"/>
          <w:bCs/>
          <w:sz w:val="24"/>
        </w:rPr>
      </w:pPr>
      <w:r>
        <w:rPr>
          <w:rFonts w:ascii="宋体" w:hAnsi="宋体"/>
          <w:bCs/>
          <w:sz w:val="24"/>
        </w:rPr>
        <w:t xml:space="preserve">八、暂停或延迟信息披露的情形</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当出现下述情况时，管理人和托管人可暂停或</w:t>
      </w:r>
      <w:r>
        <w:rPr>
          <w:rFonts w:ascii="宋体" w:hAnsi="宋体"/>
          <w:bCs/>
          <w:sz w:val="24"/>
        </w:rPr>
        <w:t xml:space="preserve">延迟披露集合计划相关信息：</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1、集合计划投资所涉及的证券、期货交易所遇法定节假日或因其他原因暂停营业时；</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、因不可抗力或其他情形致使管理人、托管人无法准确评估集合计划资产价值时；</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、发生暂停集合计划估值的情形时；</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、法律法规规定、中国证监会或集合计划合同认定的其他情形。</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r>
      <w:r/>
    </w:p>
    <w:p>
      <w:pPr>
        <w:pStyle w:val="370"/>
        <w:jc w:val="center"/>
        <w:snapToGrid w:val="1"/>
        <w:spacing w:after="0" w:before="0"/>
        <w:rPr>
          <w:rFonts w:hAnsi="宋体"/>
          <w:color w:val="000000"/>
          <w:sz w:val="30"/>
        </w:rPr>
      </w:pPr>
      <w:r>
        <w:rPr>
          <w:rFonts w:hAnsi="宋体"/>
          <w:b w:val="false"/>
          <w:bCs/>
          <w:color w:val="000000"/>
          <w:sz w:val="21"/>
        </w:rPr>
        <w:br w:type="page"/>
      </w:r>
      <w:bookmarkStart w:id="366" w:name="_Toc141703899"/>
      <w:r/>
      <w:bookmarkStart w:id="367" w:name="_Toc8049"/>
      <w:r/>
      <w:bookmarkStart w:id="368" w:name="_Toc27464"/>
      <w:r/>
      <w:bookmarkStart w:id="369" w:name="_Toc123112247"/>
      <w:r/>
      <w:bookmarkStart w:id="370" w:name="_Toc6237"/>
      <w:r/>
      <w:bookmarkStart w:id="371" w:name="_Toc123051465"/>
      <w:r/>
      <w:bookmarkStart w:id="372" w:name="_Toc98560364"/>
      <w:r/>
      <w:bookmarkStart w:id="373" w:name="_Toc8059"/>
      <w:r/>
      <w:bookmarkStart w:id="374" w:name="_Toc7170"/>
      <w:r/>
      <w:bookmarkStart w:id="375" w:name="_Toc139991749"/>
      <w:r/>
      <w:bookmarkStart w:id="376" w:name="_Toc25647"/>
      <w:r/>
      <w:bookmarkStart w:id="377" w:name="_Toc123102466"/>
      <w:r/>
      <w:bookmarkStart w:id="378" w:name="_Toc29891"/>
      <w:r/>
      <w:bookmarkStart w:id="379" w:name="_Toc10006"/>
      <w:r/>
      <w:bookmarkStart w:id="380" w:name="_Toc22978"/>
      <w:r/>
      <w:bookmarkStart w:id="381" w:name="_Toc9005"/>
      <w:r/>
      <w:bookmarkStart w:id="382" w:name="_Toc58146351"/>
      <w:r>
        <w:rPr>
          <w:rFonts w:hAnsi="宋体"/>
          <w:color w:val="000000"/>
          <w:sz w:val="30"/>
        </w:rPr>
        <w:t xml:space="preserve">第</w:t>
      </w:r>
      <w:r>
        <w:rPr>
          <w:rFonts w:hAnsi="宋体"/>
          <w:color w:val="000000"/>
          <w:sz w:val="30"/>
        </w:rPr>
        <w:t xml:space="preserve">二十</w:t>
      </w:r>
      <w:r>
        <w:rPr>
          <w:rFonts w:hAnsi="宋体"/>
          <w:color w:val="000000"/>
          <w:sz w:val="30"/>
        </w:rPr>
        <w:t xml:space="preserve">部分  集合计划合同的变更、终止与</w:t>
      </w:r>
      <w:r>
        <w:rPr>
          <w:rFonts w:hAnsi="宋体"/>
          <w:color w:val="000000"/>
          <w:sz w:val="30"/>
        </w:rPr>
        <w:t xml:space="preserve">集合计划</w:t>
      </w:r>
      <w:r>
        <w:rPr>
          <w:rFonts w:hAnsi="宋体"/>
          <w:color w:val="000000"/>
          <w:sz w:val="30"/>
        </w:rPr>
        <w:t xml:space="preserve">财产的清算</w:t>
      </w:r>
      <w:bookmarkEnd w:id="366"/>
      <w:r/>
      <w:bookmarkEnd w:id="367"/>
      <w:r/>
      <w:bookmarkEnd w:id="368"/>
      <w:r/>
      <w:bookmarkEnd w:id="369"/>
      <w:r/>
      <w:bookmarkEnd w:id="370"/>
      <w:r/>
      <w:bookmarkEnd w:id="371"/>
      <w:r/>
      <w:bookmarkEnd w:id="372"/>
      <w:r/>
      <w:bookmarkEnd w:id="373"/>
      <w:r/>
      <w:bookmarkEnd w:id="374"/>
      <w:r/>
      <w:bookmarkEnd w:id="375"/>
      <w:r/>
      <w:bookmarkEnd w:id="376"/>
      <w:r/>
      <w:bookmarkEnd w:id="377"/>
      <w:r/>
      <w:bookmarkEnd w:id="378"/>
      <w:r/>
      <w:bookmarkEnd w:id="379"/>
      <w:r/>
      <w:bookmarkEnd w:id="380"/>
      <w:r/>
      <w:bookmarkEnd w:id="381"/>
      <w:r/>
      <w:bookmarkEnd w:id="382"/>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bookmarkStart w:id="383" w:name="_Toc79392639"/>
      <w:r>
        <w:rPr>
          <w:rFonts w:ascii="宋体" w:hAnsi="宋体"/>
          <w:bCs/>
          <w:sz w:val="24"/>
        </w:rPr>
        <w:t xml:space="preserve">一、《集合计划合同》的变更</w:t>
      </w:r>
      <w:bookmarkEnd w:id="383"/>
      <w:r>
        <w:rPr>
          <w:rFonts w:ascii="宋体" w:hAnsi="宋体"/>
          <w:bCs/>
          <w:sz w:val="24"/>
        </w:rPr>
      </w:r>
      <w:r/>
    </w:p>
    <w:p>
      <w:pPr>
        <w:pStyle w:val="369"/>
        <w:ind w:firstLine="480"/>
        <w:jc w:val="left"/>
        <w:snapToGrid w:val="1"/>
        <w:spacing w:lineRule="auto" w:line="360"/>
        <w:rPr>
          <w:rFonts w:ascii="宋体" w:hAnsi="宋体"/>
          <w:bCs/>
          <w:sz w:val="24"/>
        </w:rPr>
      </w:pPr>
      <w:r>
        <w:rPr>
          <w:rFonts w:ascii="宋体" w:hAnsi="宋体"/>
          <w:bCs/>
          <w:sz w:val="24"/>
        </w:rPr>
        <w:t xml:space="preserve">1、变更集合计划合同</w:t>
      </w:r>
      <w:r>
        <w:rPr>
          <w:rFonts w:ascii="宋体" w:hAnsi="宋体"/>
          <w:bCs/>
          <w:sz w:val="24"/>
        </w:rPr>
        <w:t xml:space="preserve">涉及</w:t>
      </w:r>
      <w:r>
        <w:rPr>
          <w:rFonts w:ascii="宋体" w:hAnsi="宋体"/>
          <w:bCs/>
          <w:sz w:val="24"/>
        </w:rPr>
        <w:t xml:space="preserve">法律法规规定或本合同约定应经集合计划份额持有人大会决议通过的事项的，应召开集合计划份额持有人大会决议通过。对于法律法</w:t>
      </w:r>
      <w:r>
        <w:rPr>
          <w:rFonts w:ascii="宋体" w:hAnsi="宋体"/>
          <w:bCs/>
          <w:sz w:val="24"/>
        </w:rPr>
        <w:t xml:space="preserve">规规定和集合计划合同约定可不经集合计划份额持有人大会决议通过的事项，由管理人和托管人同意后变更并公告，并报中国证监会备案。</w:t>
      </w:r>
      <w:r/>
    </w:p>
    <w:p>
      <w:pPr>
        <w:pStyle w:val="369"/>
        <w:ind w:firstLine="480"/>
        <w:snapToGrid w:val="1"/>
        <w:spacing w:lineRule="auto" w:line="360"/>
        <w:rPr>
          <w:rFonts w:ascii="宋体" w:hAnsi="宋体"/>
          <w:bCs/>
          <w:sz w:val="24"/>
        </w:rPr>
      </w:pPr>
      <w:r>
        <w:rPr>
          <w:rFonts w:ascii="宋体" w:hAnsi="宋体"/>
          <w:bCs/>
          <w:sz w:val="24"/>
        </w:rPr>
        <w:t xml:space="preserve">2、关于《集合计划合同》变更的集合计划份额持有人大会决议</w:t>
      </w:r>
      <w:r>
        <w:rPr>
          <w:rFonts w:ascii="宋体" w:hAnsi="宋体"/>
          <w:bCs/>
          <w:sz w:val="24"/>
        </w:rPr>
        <w:t xml:space="preserve">自</w:t>
      </w:r>
      <w:r>
        <w:rPr>
          <w:rFonts w:ascii="宋体" w:hAnsi="宋体"/>
          <w:bCs/>
          <w:sz w:val="24"/>
        </w:rPr>
        <w:t xml:space="preserve">生效后方可执行，自决议生效后两日内在</w:t>
      </w:r>
      <w:bookmarkStart w:id="384" w:name="_Toc258829400"/>
      <w:r/>
      <w:bookmarkStart w:id="385" w:name="_Toc233456272"/>
      <w:r>
        <w:rPr>
          <w:rFonts w:ascii="宋体" w:hAnsi="宋体"/>
          <w:bCs/>
          <w:sz w:val="24"/>
        </w:rPr>
        <w:t xml:space="preserve">规定媒介公告。</w:t>
      </w:r>
      <w:r/>
    </w:p>
    <w:p>
      <w:pPr>
        <w:pStyle w:val="369"/>
        <w:ind w:firstLine="480"/>
        <w:snapToGrid w:val="1"/>
        <w:spacing w:lineRule="auto" w:line="360"/>
        <w:rPr>
          <w:rFonts w:ascii="宋体" w:hAnsi="宋体"/>
          <w:bCs/>
          <w:sz w:val="24"/>
        </w:rPr>
      </w:pPr>
      <w:r>
        <w:rPr>
          <w:rFonts w:ascii="宋体" w:hAnsi="宋体"/>
          <w:bCs/>
          <w:sz w:val="24"/>
        </w:rPr>
        <w:t xml:space="preserve">二、《集合计划合同》的终止事由</w:t>
      </w:r>
      <w:r/>
    </w:p>
    <w:p>
      <w:pPr>
        <w:pStyle w:val="369"/>
        <w:ind w:firstLine="480"/>
        <w:snapToGrid w:val="1"/>
        <w:spacing w:lineRule="auto" w:line="360"/>
        <w:rPr>
          <w:rFonts w:ascii="宋体" w:hAnsi="宋体"/>
          <w:bCs/>
          <w:sz w:val="24"/>
        </w:rPr>
      </w:pPr>
      <w:r>
        <w:rPr>
          <w:rFonts w:ascii="宋体" w:hAnsi="宋体"/>
          <w:bCs/>
          <w:sz w:val="24"/>
        </w:rPr>
        <w:t xml:space="preserve">有下列情形之一的，</w:t>
      </w:r>
      <w:r>
        <w:rPr>
          <w:rFonts w:ascii="宋体" w:hAnsi="宋体"/>
          <w:bCs/>
          <w:sz w:val="24"/>
        </w:rPr>
        <w:t xml:space="preserve">经履行相关程序后，</w:t>
      </w:r>
      <w:r>
        <w:rPr>
          <w:rFonts w:ascii="宋体" w:hAnsi="宋体"/>
          <w:bCs/>
          <w:sz w:val="24"/>
        </w:rPr>
        <w:t xml:space="preserve">《集合计划合同》应当终止：</w:t>
      </w:r>
      <w:r/>
    </w:p>
    <w:p>
      <w:pPr>
        <w:pStyle w:val="369"/>
        <w:ind w:firstLine="480"/>
        <w:snapToGrid w:val="1"/>
        <w:spacing w:lineRule="auto" w:line="360"/>
        <w:rPr>
          <w:rFonts w:ascii="宋体" w:hAnsi="宋体"/>
          <w:bCs/>
          <w:sz w:val="24"/>
        </w:rPr>
      </w:pPr>
      <w:r>
        <w:rPr>
          <w:rFonts w:ascii="宋体" w:hAnsi="宋体"/>
          <w:bCs/>
          <w:sz w:val="24"/>
        </w:rPr>
        <w:t xml:space="preserve">1、集合计划份额持有人大会决定终止的；</w:t>
      </w:r>
      <w:r/>
    </w:p>
    <w:p>
      <w:pPr>
        <w:pStyle w:val="369"/>
        <w:ind w:firstLine="480"/>
        <w:snapToGrid w:val="1"/>
        <w:spacing w:lineRule="auto" w:line="360"/>
        <w:rPr>
          <w:rFonts w:ascii="宋体" w:hAnsi="宋体"/>
          <w:bCs/>
          <w:sz w:val="24"/>
        </w:rPr>
      </w:pPr>
      <w:r>
        <w:rPr>
          <w:rFonts w:ascii="宋体" w:hAnsi="宋体"/>
          <w:bCs/>
          <w:sz w:val="24"/>
        </w:rPr>
        <w:t xml:space="preserve">2、管理人、托管人职责终止，在6个月内没有新管理人、新托管人承接的；</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、《集合计划合同》约定的其他情形；</w:t>
      </w:r>
      <w:r/>
    </w:p>
    <w:p>
      <w:pPr>
        <w:pStyle w:val="369"/>
        <w:ind w:firstLine="480"/>
        <w:snapToGrid w:val="1"/>
        <w:spacing w:lineRule="auto" w:line="360"/>
        <w:rPr>
          <w:rFonts w:ascii="宋体" w:hAnsi="宋体"/>
          <w:bCs/>
          <w:sz w:val="24"/>
        </w:rPr>
      </w:pPr>
      <w:r>
        <w:rPr>
          <w:rFonts w:ascii="宋体" w:hAnsi="宋体"/>
          <w:bCs/>
          <w:sz w:val="24"/>
        </w:rPr>
        <w:t xml:space="preserve">4、相关法律法规和中国证监会规定的</w:t>
      </w:r>
      <w:r>
        <w:rPr>
          <w:rFonts w:ascii="宋体" w:hAnsi="宋体"/>
          <w:bCs/>
          <w:sz w:val="24"/>
        </w:rPr>
        <w:t xml:space="preserve">其他情况。</w:t>
      </w:r>
      <w:r/>
    </w:p>
    <w:p>
      <w:pPr>
        <w:pStyle w:val="369"/>
        <w:ind w:firstLine="480"/>
        <w:snapToGrid w:val="1"/>
        <w:spacing w:lineRule="auto" w:line="360"/>
        <w:rPr>
          <w:rFonts w:ascii="宋体" w:hAnsi="宋体"/>
          <w:bCs/>
          <w:sz w:val="24"/>
        </w:rPr>
      </w:pPr>
      <w:r>
        <w:rPr>
          <w:rFonts w:ascii="宋体" w:hAnsi="宋体"/>
          <w:bCs/>
          <w:sz w:val="24"/>
        </w:rPr>
        <w:t xml:space="preserve">三、</w:t>
      </w:r>
      <w:r>
        <w:rPr>
          <w:rFonts w:ascii="宋体" w:hAnsi="宋体"/>
          <w:bCs/>
          <w:sz w:val="24"/>
        </w:rPr>
        <w:t xml:space="preserve">集合计划</w:t>
      </w:r>
      <w:r>
        <w:rPr>
          <w:rFonts w:ascii="宋体" w:hAnsi="宋体"/>
          <w:bCs/>
          <w:sz w:val="24"/>
        </w:rPr>
        <w:t xml:space="preserve">财产的清算</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集合计划</w:t>
      </w:r>
      <w:r>
        <w:rPr>
          <w:rFonts w:ascii="宋体" w:hAnsi="宋体"/>
          <w:bCs/>
          <w:sz w:val="24"/>
        </w:rPr>
        <w:t xml:space="preserve">财产清算小组：自出现《集合计划合同》终止事由之日起30个工作日内成立清算小组，管理人组织</w:t>
      </w:r>
      <w:r>
        <w:rPr>
          <w:rFonts w:ascii="宋体" w:hAnsi="宋体"/>
          <w:bCs/>
          <w:sz w:val="24"/>
        </w:rPr>
        <w:t xml:space="preserve">集合计划</w:t>
      </w:r>
      <w:r>
        <w:rPr>
          <w:rFonts w:ascii="宋体" w:hAnsi="宋体"/>
          <w:bCs/>
          <w:sz w:val="24"/>
        </w:rPr>
        <w:t xml:space="preserve">财产清算小组并在中国证监会的监督下进行</w:t>
      </w:r>
      <w:r>
        <w:rPr>
          <w:rFonts w:ascii="宋体" w:hAnsi="宋体"/>
          <w:bCs/>
          <w:sz w:val="24"/>
        </w:rPr>
        <w:t xml:space="preserve">集合计划</w:t>
      </w:r>
      <w:r>
        <w:rPr>
          <w:rFonts w:ascii="宋体" w:hAnsi="宋体"/>
          <w:bCs/>
          <w:sz w:val="24"/>
        </w:rPr>
        <w:t xml:space="preserve">清算。</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集合计划</w:t>
      </w:r>
      <w:r>
        <w:rPr>
          <w:rFonts w:ascii="宋体" w:hAnsi="宋体"/>
          <w:bCs/>
          <w:sz w:val="24"/>
        </w:rPr>
        <w:t xml:space="preserve">财产清算小组组成：</w:t>
      </w:r>
      <w:r>
        <w:rPr>
          <w:rFonts w:ascii="宋体" w:hAnsi="宋体"/>
          <w:bCs/>
          <w:sz w:val="24"/>
        </w:rPr>
        <w:t xml:space="preserve">集合计划</w:t>
      </w:r>
      <w:r>
        <w:rPr>
          <w:rFonts w:ascii="宋体" w:hAnsi="宋体"/>
          <w:bCs/>
          <w:sz w:val="24"/>
        </w:rPr>
        <w:t xml:space="preserve">财产清算小组成员由管理人、托管人、</w:t>
      </w:r>
      <w:r>
        <w:rPr>
          <w:rFonts w:ascii="宋体" w:hAnsi="宋体"/>
          <w:bCs/>
          <w:sz w:val="24"/>
        </w:rPr>
        <w:t xml:space="preserve">符合《中华人民共和国证券法》规定</w:t>
      </w:r>
      <w:r>
        <w:rPr>
          <w:rFonts w:ascii="宋体" w:hAnsi="宋体"/>
          <w:bCs/>
          <w:sz w:val="24"/>
        </w:rPr>
        <w:t xml:space="preserve">的注册会计师、律师以及中国证监会指定的人员组成。</w:t>
      </w:r>
      <w:r>
        <w:rPr>
          <w:rFonts w:ascii="宋体" w:hAnsi="宋体"/>
          <w:bCs/>
          <w:sz w:val="24"/>
        </w:rPr>
        <w:t xml:space="preserve">集合计划</w:t>
      </w:r>
      <w:r>
        <w:rPr>
          <w:rFonts w:ascii="宋体" w:hAnsi="宋体"/>
          <w:bCs/>
          <w:sz w:val="24"/>
        </w:rPr>
        <w:t xml:space="preserve">财产清算小组可以聘用必要的工作人员。</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集合计划</w:t>
      </w:r>
      <w:r>
        <w:rPr>
          <w:rFonts w:ascii="宋体" w:hAnsi="宋体"/>
          <w:bCs/>
          <w:sz w:val="24"/>
        </w:rPr>
        <w:t xml:space="preserve">财产清算小组职责：</w:t>
      </w:r>
      <w:r>
        <w:rPr>
          <w:rFonts w:ascii="宋体" w:hAnsi="宋体"/>
          <w:bCs/>
          <w:sz w:val="24"/>
        </w:rPr>
        <w:t xml:space="preserve">集合计划</w:t>
      </w:r>
      <w:r>
        <w:rPr>
          <w:rFonts w:ascii="宋体" w:hAnsi="宋体"/>
          <w:bCs/>
          <w:sz w:val="24"/>
        </w:rPr>
        <w:t xml:space="preserve">财产清算小组负责</w:t>
      </w:r>
      <w:r>
        <w:rPr>
          <w:rFonts w:ascii="宋体" w:hAnsi="宋体"/>
          <w:bCs/>
          <w:sz w:val="24"/>
        </w:rPr>
        <w:t xml:space="preserve">集合计划</w:t>
      </w:r>
      <w:r>
        <w:rPr>
          <w:rFonts w:ascii="宋体" w:hAnsi="宋体"/>
          <w:bCs/>
          <w:sz w:val="24"/>
        </w:rPr>
        <w:t xml:space="preserve">财产的保管、清理、估价、变现和分配。</w:t>
      </w:r>
      <w:r>
        <w:rPr>
          <w:rFonts w:ascii="宋体" w:hAnsi="宋体"/>
          <w:bCs/>
          <w:sz w:val="24"/>
        </w:rPr>
        <w:t xml:space="preserve">集合计划</w:t>
      </w:r>
      <w:r>
        <w:rPr>
          <w:rFonts w:ascii="宋体" w:hAnsi="宋体"/>
          <w:bCs/>
          <w:sz w:val="24"/>
        </w:rPr>
        <w:t xml:space="preserve">财产清算小</w:t>
      </w:r>
      <w:r>
        <w:rPr>
          <w:rFonts w:ascii="宋体" w:hAnsi="宋体"/>
          <w:bCs/>
          <w:sz w:val="24"/>
        </w:rPr>
        <w:t xml:space="preserve">组可以依法进行必要的民事活动。</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集合计划</w:t>
      </w:r>
      <w:r>
        <w:rPr>
          <w:rFonts w:ascii="宋体" w:hAnsi="宋体"/>
          <w:bCs/>
          <w:sz w:val="24"/>
        </w:rPr>
        <w:t xml:space="preserve">财产清算程序：</w:t>
      </w:r>
      <w:r/>
    </w:p>
    <w:p>
      <w:pPr>
        <w:pStyle w:val="369"/>
        <w:ind w:firstLine="480"/>
        <w:snapToGrid w:val="1"/>
        <w:spacing w:lineRule="auto" w:line="360"/>
        <w:rPr>
          <w:rFonts w:ascii="宋体" w:hAnsi="宋体"/>
          <w:bCs/>
          <w:sz w:val="24"/>
        </w:rPr>
      </w:pPr>
      <w:r>
        <w:rPr>
          <w:rFonts w:ascii="宋体" w:hAnsi="宋体"/>
          <w:bCs/>
          <w:sz w:val="24"/>
        </w:rPr>
        <w:t xml:space="preserve">（1）《集合计划合同》终止情形出现时，由</w:t>
      </w:r>
      <w:r>
        <w:rPr>
          <w:rFonts w:ascii="宋体" w:hAnsi="宋体"/>
          <w:bCs/>
          <w:sz w:val="24"/>
        </w:rPr>
        <w:t xml:space="preserve">集合计划</w:t>
      </w:r>
      <w:r>
        <w:rPr>
          <w:rFonts w:ascii="宋体" w:hAnsi="宋体"/>
          <w:bCs/>
          <w:sz w:val="24"/>
        </w:rPr>
        <w:t xml:space="preserve">财产清算小组统一接管</w:t>
      </w:r>
      <w:r>
        <w:rPr>
          <w:rFonts w:ascii="宋体" w:hAnsi="宋体"/>
          <w:bCs/>
          <w:sz w:val="24"/>
        </w:rPr>
        <w:t xml:space="preserve">集合计划</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（2）对</w:t>
      </w:r>
      <w:r>
        <w:rPr>
          <w:rFonts w:ascii="宋体" w:hAnsi="宋体"/>
          <w:bCs/>
          <w:sz w:val="24"/>
        </w:rPr>
        <w:t xml:space="preserve">集合计划</w:t>
      </w:r>
      <w:r>
        <w:rPr>
          <w:rFonts w:ascii="宋体" w:hAnsi="宋体"/>
          <w:bCs/>
          <w:sz w:val="24"/>
        </w:rPr>
        <w:t xml:space="preserve">财产和债权债务进行清理和确认；</w:t>
      </w:r>
      <w:r/>
    </w:p>
    <w:p>
      <w:pPr>
        <w:pStyle w:val="369"/>
        <w:ind w:firstLine="480"/>
        <w:snapToGrid w:val="1"/>
        <w:spacing w:lineRule="auto" w:line="360"/>
        <w:rPr>
          <w:rFonts w:ascii="宋体" w:hAnsi="宋体"/>
          <w:bCs/>
          <w:sz w:val="24"/>
        </w:rPr>
      </w:pPr>
      <w:r>
        <w:rPr>
          <w:rFonts w:ascii="宋体" w:hAnsi="宋体"/>
          <w:bCs/>
          <w:sz w:val="24"/>
        </w:rPr>
        <w:t xml:space="preserve">（3）对</w:t>
      </w:r>
      <w:r>
        <w:rPr>
          <w:rFonts w:ascii="宋体" w:hAnsi="宋体"/>
          <w:bCs/>
          <w:sz w:val="24"/>
        </w:rPr>
        <w:t xml:space="preserve">集合计划</w:t>
      </w:r>
      <w:r>
        <w:rPr>
          <w:rFonts w:ascii="宋体" w:hAnsi="宋体"/>
          <w:bCs/>
          <w:sz w:val="24"/>
        </w:rPr>
        <w:t xml:space="preserve">财产进行估值和变现；</w:t>
      </w:r>
      <w:r/>
    </w:p>
    <w:p>
      <w:pPr>
        <w:pStyle w:val="369"/>
        <w:ind w:firstLine="480"/>
        <w:snapToGrid w:val="1"/>
        <w:spacing w:lineRule="auto" w:line="360"/>
        <w:rPr>
          <w:rFonts w:ascii="宋体" w:hAnsi="宋体"/>
          <w:bCs/>
          <w:sz w:val="24"/>
        </w:rPr>
      </w:pPr>
      <w:r>
        <w:rPr>
          <w:rFonts w:ascii="宋体" w:hAnsi="宋体"/>
          <w:bCs/>
          <w:sz w:val="24"/>
        </w:rPr>
        <w:t xml:space="preserve">（4）制作清算报告；</w:t>
      </w:r>
      <w:r/>
    </w:p>
    <w:p>
      <w:pPr>
        <w:pStyle w:val="369"/>
        <w:ind w:firstLine="480"/>
        <w:snapToGrid w:val="1"/>
        <w:spacing w:lineRule="auto" w:line="360"/>
        <w:rPr>
          <w:rFonts w:ascii="宋体" w:hAnsi="宋体"/>
          <w:bCs/>
          <w:sz w:val="24"/>
        </w:rPr>
      </w:pPr>
      <w:r>
        <w:rPr>
          <w:rFonts w:ascii="宋体" w:hAnsi="宋体"/>
          <w:bCs/>
          <w:sz w:val="24"/>
        </w:rPr>
        <w:t xml:space="preserve">（5）聘请会计师事务所对清算报告进行外部审计，聘请律师事务所对清算报告出具法律意见书；</w:t>
      </w:r>
      <w:r/>
    </w:p>
    <w:p>
      <w:pPr>
        <w:pStyle w:val="369"/>
        <w:ind w:firstLine="480"/>
        <w:snapToGrid w:val="1"/>
        <w:spacing w:lineRule="auto" w:line="360"/>
        <w:rPr>
          <w:rFonts w:ascii="宋体" w:hAnsi="宋体"/>
          <w:bCs/>
          <w:sz w:val="24"/>
        </w:rPr>
      </w:pPr>
      <w:r>
        <w:rPr>
          <w:rFonts w:ascii="宋体" w:hAnsi="宋体"/>
          <w:bCs/>
          <w:sz w:val="24"/>
        </w:rPr>
        <w:t xml:space="preserve">（6）将清算报告报中国证监会备案并公告</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（7）对</w:t>
      </w:r>
      <w:r>
        <w:rPr>
          <w:rFonts w:ascii="宋体" w:hAnsi="宋体"/>
          <w:bCs/>
          <w:sz w:val="24"/>
        </w:rPr>
        <w:t xml:space="preserve">集合计划剩余</w:t>
      </w:r>
      <w:r>
        <w:rPr>
          <w:rFonts w:ascii="宋体" w:hAnsi="宋体"/>
          <w:bCs/>
          <w:sz w:val="24"/>
        </w:rPr>
        <w:t xml:space="preserve">财产进行分配</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集合计划</w:t>
      </w:r>
      <w:r>
        <w:rPr>
          <w:rFonts w:ascii="宋体" w:hAnsi="宋体"/>
          <w:bCs/>
          <w:sz w:val="24"/>
        </w:rPr>
        <w:t xml:space="preserve">财产清算的期限为</w:t>
      </w:r>
      <w:r>
        <w:rPr>
          <w:rFonts w:ascii="宋体" w:hAnsi="宋体"/>
          <w:bCs/>
          <w:sz w:val="24"/>
        </w:rPr>
        <w:t xml:space="preserve">6</w:t>
      </w:r>
      <w:r>
        <w:rPr>
          <w:rFonts w:ascii="宋体" w:hAnsi="宋体"/>
          <w:bCs/>
          <w:sz w:val="24"/>
        </w:rPr>
        <w:t xml:space="preserve">个月，但因本集合计划所持证券的流动性受到限制而不能及时变现的，管理人</w:t>
      </w:r>
      <w:r>
        <w:rPr>
          <w:rFonts w:ascii="宋体" w:hAnsi="宋体"/>
          <w:bCs/>
          <w:sz w:val="24"/>
        </w:rPr>
        <w:t xml:space="preserve">可针对该部分未能变现证券制定二次清算方案，该方案应经托管人认可，并通过管理人网站进行披露。管理人应根据二次清算方案的规定，对该部分流通受限证券在可流通变现后进行二次或多次清算，并将变现后的资产按合同约定以货币形式全部分配给份额持有人。</w:t>
      </w:r>
      <w:r/>
    </w:p>
    <w:p>
      <w:pPr>
        <w:pStyle w:val="369"/>
        <w:ind w:firstLine="480"/>
        <w:snapToGrid w:val="1"/>
        <w:spacing w:lineRule="auto" w:line="360"/>
        <w:rPr>
          <w:rFonts w:ascii="宋体" w:hAnsi="宋体"/>
          <w:bCs/>
          <w:sz w:val="24"/>
        </w:rPr>
      </w:pPr>
      <w:r>
        <w:rPr>
          <w:rFonts w:ascii="宋体" w:hAnsi="宋体"/>
          <w:bCs/>
          <w:sz w:val="24"/>
        </w:rPr>
        <w:t xml:space="preserve">四、清算费用</w:t>
      </w:r>
      <w:r/>
    </w:p>
    <w:p>
      <w:pPr>
        <w:pStyle w:val="369"/>
        <w:ind w:firstLine="480"/>
        <w:snapToGrid w:val="1"/>
        <w:spacing w:lineRule="auto" w:line="360"/>
        <w:rPr>
          <w:rFonts w:ascii="宋体" w:hAnsi="宋体"/>
          <w:bCs/>
          <w:sz w:val="24"/>
        </w:rPr>
      </w:pPr>
      <w:r>
        <w:rPr>
          <w:rFonts w:ascii="宋体" w:hAnsi="宋体"/>
          <w:bCs/>
          <w:sz w:val="24"/>
        </w:rPr>
        <w:t xml:space="preserve">清算费用是指</w:t>
      </w:r>
      <w:r>
        <w:rPr>
          <w:rFonts w:ascii="宋体" w:hAnsi="宋体"/>
          <w:bCs/>
          <w:sz w:val="24"/>
        </w:rPr>
        <w:t xml:space="preserve">集合计划</w:t>
      </w:r>
      <w:r>
        <w:rPr>
          <w:rFonts w:ascii="宋体" w:hAnsi="宋体"/>
          <w:bCs/>
          <w:sz w:val="24"/>
        </w:rPr>
        <w:t xml:space="preserve">财产清算小组在进行</w:t>
      </w:r>
      <w:r>
        <w:rPr>
          <w:rFonts w:ascii="宋体" w:hAnsi="宋体"/>
          <w:bCs/>
          <w:sz w:val="24"/>
        </w:rPr>
        <w:t xml:space="preserve">集合计划</w:t>
      </w:r>
      <w:r>
        <w:rPr>
          <w:rFonts w:ascii="宋体" w:hAnsi="宋体"/>
          <w:bCs/>
          <w:sz w:val="24"/>
        </w:rPr>
        <w:t xml:space="preserve">清算过程中发生的所有合理费用，清算费用由</w:t>
      </w:r>
      <w:r>
        <w:rPr>
          <w:rFonts w:ascii="宋体" w:hAnsi="宋体"/>
          <w:bCs/>
          <w:sz w:val="24"/>
        </w:rPr>
        <w:t xml:space="preserve">集合计划</w:t>
      </w:r>
      <w:r>
        <w:rPr>
          <w:rFonts w:ascii="宋体" w:hAnsi="宋体"/>
          <w:bCs/>
          <w:sz w:val="24"/>
        </w:rPr>
        <w:t xml:space="preserve">财产清算小组优先从</w:t>
      </w:r>
      <w:r>
        <w:rPr>
          <w:rFonts w:ascii="宋体" w:hAnsi="宋体"/>
          <w:bCs/>
          <w:sz w:val="24"/>
        </w:rPr>
        <w:t xml:space="preserve">集合计划</w:t>
      </w:r>
      <w:r>
        <w:rPr>
          <w:rFonts w:ascii="宋体" w:hAnsi="宋体"/>
          <w:bCs/>
          <w:sz w:val="24"/>
        </w:rPr>
        <w:t xml:space="preserve">财产中支付。</w:t>
      </w:r>
      <w:r/>
    </w:p>
    <w:p>
      <w:pPr>
        <w:pStyle w:val="369"/>
        <w:ind w:firstLine="480"/>
        <w:snapToGrid w:val="1"/>
        <w:spacing w:lineRule="auto" w:line="360"/>
        <w:rPr>
          <w:rFonts w:ascii="宋体" w:hAnsi="宋体"/>
          <w:bCs/>
          <w:sz w:val="24"/>
        </w:rPr>
      </w:pPr>
      <w:r>
        <w:rPr>
          <w:rFonts w:ascii="宋体" w:hAnsi="宋体"/>
          <w:bCs/>
          <w:sz w:val="24"/>
        </w:rPr>
        <w:t xml:space="preserve">五、</w:t>
      </w:r>
      <w:r>
        <w:rPr>
          <w:rFonts w:ascii="宋体" w:hAnsi="宋体"/>
          <w:bCs/>
          <w:sz w:val="24"/>
        </w:rPr>
        <w:t xml:space="preserve">集合计划</w:t>
      </w:r>
      <w:r>
        <w:rPr>
          <w:rFonts w:ascii="宋体" w:hAnsi="宋体"/>
          <w:bCs/>
          <w:sz w:val="24"/>
        </w:rPr>
        <w:t xml:space="preserve">财产清算剩余资产的分配</w:t>
      </w:r>
      <w:r/>
    </w:p>
    <w:p>
      <w:pPr>
        <w:pStyle w:val="369"/>
        <w:ind w:firstLine="480"/>
        <w:snapToGrid w:val="1"/>
        <w:spacing w:lineRule="auto" w:line="360"/>
        <w:rPr>
          <w:rFonts w:ascii="宋体" w:hAnsi="宋体"/>
          <w:bCs/>
          <w:sz w:val="24"/>
        </w:rPr>
      </w:pPr>
      <w:r>
        <w:rPr>
          <w:rFonts w:ascii="宋体" w:hAnsi="宋体"/>
          <w:bCs/>
          <w:sz w:val="24"/>
        </w:rPr>
        <w:t xml:space="preserve">依据</w:t>
      </w:r>
      <w:r>
        <w:rPr>
          <w:rFonts w:ascii="宋体" w:hAnsi="宋体"/>
          <w:bCs/>
          <w:sz w:val="24"/>
        </w:rPr>
        <w:t xml:space="preserve">集合计划</w:t>
      </w:r>
      <w:r>
        <w:rPr>
          <w:rFonts w:ascii="宋体" w:hAnsi="宋体"/>
          <w:bCs/>
          <w:sz w:val="24"/>
        </w:rPr>
        <w:t xml:space="preserve">财产清算的分配方案，将</w:t>
      </w:r>
      <w:r>
        <w:rPr>
          <w:rFonts w:ascii="宋体" w:hAnsi="宋体"/>
          <w:bCs/>
          <w:sz w:val="24"/>
        </w:rPr>
        <w:t xml:space="preserve">集合计划</w:t>
      </w:r>
      <w:r>
        <w:rPr>
          <w:rFonts w:ascii="宋体" w:hAnsi="宋体"/>
          <w:bCs/>
          <w:sz w:val="24"/>
        </w:rPr>
        <w:t xml:space="preserve">财产清算后的全部剩余资产扣除</w:t>
      </w:r>
      <w:r>
        <w:rPr>
          <w:rFonts w:ascii="宋体" w:hAnsi="宋体"/>
          <w:bCs/>
          <w:sz w:val="24"/>
        </w:rPr>
        <w:t xml:space="preserve">集合计划</w:t>
      </w:r>
      <w:r>
        <w:rPr>
          <w:rFonts w:ascii="宋体" w:hAnsi="宋体"/>
          <w:bCs/>
          <w:sz w:val="24"/>
        </w:rPr>
        <w:t xml:space="preserve">财产清算费用、</w:t>
      </w:r>
      <w:r>
        <w:rPr>
          <w:rFonts w:ascii="宋体" w:hAnsi="宋体"/>
          <w:bCs/>
          <w:sz w:val="24"/>
        </w:rPr>
        <w:t xml:space="preserve">交纳所欠税款并清偿</w:t>
      </w:r>
      <w:r>
        <w:rPr>
          <w:rFonts w:ascii="宋体" w:hAnsi="宋体"/>
          <w:bCs/>
          <w:sz w:val="24"/>
        </w:rPr>
        <w:t xml:space="preserve">集合计划</w:t>
      </w:r>
      <w:r>
        <w:rPr>
          <w:rFonts w:ascii="宋体" w:hAnsi="宋体"/>
          <w:bCs/>
          <w:sz w:val="24"/>
        </w:rPr>
        <w:t xml:space="preserve">债务后，按集合计划份额持有人持有的</w:t>
      </w:r>
      <w:r>
        <w:rPr>
          <w:rFonts w:ascii="宋体" w:hAnsi="宋体"/>
          <w:bCs/>
          <w:sz w:val="24"/>
        </w:rPr>
        <w:t xml:space="preserve">集合计划</w:t>
      </w:r>
      <w:r>
        <w:rPr>
          <w:rFonts w:ascii="宋体" w:hAnsi="宋体"/>
          <w:bCs/>
          <w:sz w:val="24"/>
        </w:rPr>
        <w:t xml:space="preserve">份额比例进行分配。</w:t>
      </w:r>
      <w:r/>
    </w:p>
    <w:p>
      <w:pPr>
        <w:pStyle w:val="369"/>
        <w:ind w:firstLine="480"/>
        <w:snapToGrid w:val="1"/>
        <w:spacing w:lineRule="auto" w:line="360"/>
        <w:rPr>
          <w:rFonts w:ascii="宋体" w:hAnsi="宋体"/>
          <w:bCs/>
          <w:sz w:val="24"/>
        </w:rPr>
      </w:pPr>
      <w:r>
        <w:rPr>
          <w:rFonts w:ascii="宋体" w:hAnsi="宋体"/>
          <w:bCs/>
          <w:sz w:val="24"/>
        </w:rPr>
        <w:t xml:space="preserve">六、</w:t>
      </w:r>
      <w:r>
        <w:rPr>
          <w:rFonts w:ascii="宋体" w:hAnsi="宋体"/>
          <w:bCs/>
          <w:sz w:val="24"/>
        </w:rPr>
        <w:t xml:space="preserve">集合计划</w:t>
      </w:r>
      <w:r>
        <w:rPr>
          <w:rFonts w:ascii="宋体" w:hAnsi="宋体"/>
          <w:bCs/>
          <w:sz w:val="24"/>
        </w:rPr>
        <w:t xml:space="preserve">财产清算的公告</w:t>
      </w:r>
      <w:r/>
    </w:p>
    <w:p>
      <w:pPr>
        <w:pStyle w:val="369"/>
        <w:ind w:firstLine="480"/>
        <w:snapToGrid w:val="1"/>
        <w:spacing w:lineRule="auto" w:line="360"/>
        <w:rPr>
          <w:rFonts w:ascii="宋体" w:hAnsi="宋体"/>
          <w:bCs/>
          <w:sz w:val="24"/>
        </w:rPr>
      </w:pPr>
      <w:r>
        <w:rPr>
          <w:rFonts w:ascii="宋体" w:hAnsi="宋体"/>
          <w:bCs/>
          <w:sz w:val="24"/>
        </w:rPr>
        <w:t xml:space="preserve">清算过程中的有关重大事项须及时公告；</w:t>
      </w:r>
      <w:r>
        <w:rPr>
          <w:rFonts w:ascii="宋体" w:hAnsi="宋体"/>
          <w:bCs/>
          <w:sz w:val="24"/>
        </w:rPr>
        <w:t xml:space="preserve">集合计划</w:t>
      </w:r>
      <w:r>
        <w:rPr>
          <w:rFonts w:ascii="宋体" w:hAnsi="宋体"/>
          <w:bCs/>
          <w:sz w:val="24"/>
        </w:rPr>
        <w:t xml:space="preserve">财产清算报告</w:t>
      </w:r>
      <w:r>
        <w:rPr>
          <w:rFonts w:ascii="宋体" w:hAnsi="宋体"/>
          <w:bCs/>
          <w:sz w:val="24"/>
        </w:rPr>
        <w:t xml:space="preserve">应当</w:t>
      </w:r>
      <w:r>
        <w:rPr>
          <w:rFonts w:ascii="宋体" w:hAnsi="宋体"/>
          <w:bCs/>
          <w:sz w:val="24"/>
        </w:rPr>
        <w:t xml:space="preserve">经</w:t>
      </w:r>
      <w:r>
        <w:rPr>
          <w:rFonts w:ascii="宋体" w:hAnsi="宋体"/>
          <w:sz w:val="24"/>
        </w:rPr>
        <w:t xml:space="preserve">符合《中华人民共和国证券法》规定的</w:t>
      </w:r>
      <w:r>
        <w:rPr>
          <w:rFonts w:ascii="宋体" w:hAnsi="宋体"/>
          <w:bCs/>
          <w:sz w:val="24"/>
        </w:rPr>
        <w:t xml:space="preserve">会计师事务所审计并由律师事务所出具法律意见书后报中国证监会备案并公告。</w:t>
      </w:r>
      <w:r>
        <w:rPr>
          <w:rFonts w:ascii="宋体" w:hAnsi="宋体"/>
          <w:bCs/>
          <w:sz w:val="24"/>
        </w:rPr>
        <w:t xml:space="preserve">集合计划</w:t>
      </w:r>
      <w:r>
        <w:rPr>
          <w:rFonts w:ascii="宋体" w:hAnsi="宋体"/>
          <w:bCs/>
          <w:sz w:val="24"/>
        </w:rPr>
        <w:t xml:space="preserve">财产清算公告于</w:t>
      </w:r>
      <w:r>
        <w:rPr>
          <w:rFonts w:ascii="宋体" w:hAnsi="宋体"/>
          <w:bCs/>
          <w:sz w:val="24"/>
        </w:rPr>
        <w:t xml:space="preserve">集合计划</w:t>
      </w:r>
      <w:r>
        <w:rPr>
          <w:rFonts w:ascii="宋体" w:hAnsi="宋体"/>
          <w:bCs/>
          <w:sz w:val="24"/>
        </w:rPr>
        <w:t xml:space="preserve">财产清算报告报中国证监会备案后5个工作日内由</w:t>
      </w:r>
      <w:r>
        <w:rPr>
          <w:rFonts w:ascii="宋体" w:hAnsi="宋体"/>
          <w:bCs/>
          <w:sz w:val="24"/>
        </w:rPr>
        <w:t xml:space="preserve">集合计划</w:t>
      </w:r>
      <w:r>
        <w:rPr>
          <w:rFonts w:ascii="宋体" w:hAnsi="宋体"/>
          <w:bCs/>
          <w:sz w:val="24"/>
        </w:rPr>
        <w:t xml:space="preserve">财产清算小组进行公告</w:t>
      </w:r>
      <w:r>
        <w:rPr>
          <w:rFonts w:ascii="宋体" w:hAnsi="宋体"/>
          <w:bCs/>
          <w:sz w:val="24"/>
        </w:rPr>
        <w:t xml:space="preserve">，集合计划财产清算小组应当将清算报告登载在规定网站上，并将清算报告提示性公告登载在规定报刊上</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七、</w:t>
      </w:r>
      <w:r>
        <w:rPr>
          <w:rFonts w:ascii="宋体" w:hAnsi="宋体"/>
          <w:bCs/>
          <w:sz w:val="24"/>
        </w:rPr>
        <w:t xml:space="preserve">集合计划</w:t>
      </w:r>
      <w:r>
        <w:rPr>
          <w:rFonts w:ascii="宋体" w:hAnsi="宋体"/>
          <w:bCs/>
          <w:sz w:val="24"/>
        </w:rPr>
        <w:t xml:space="preserve">财产清算账册及文件的</w:t>
      </w:r>
      <w:r>
        <w:rPr>
          <w:rFonts w:ascii="宋体" w:hAnsi="宋体"/>
          <w:bCs/>
          <w:sz w:val="24"/>
        </w:rPr>
        <w:t xml:space="preserve">保存</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财产清算账册及有关文件由托管人保存</w:t>
      </w:r>
      <w:r>
        <w:rPr>
          <w:rFonts w:ascii="宋体" w:hAnsi="宋体"/>
          <w:bCs/>
          <w:sz w:val="24"/>
        </w:rPr>
        <w:t xml:space="preserve">不低于法律法规规定的最低期限</w:t>
      </w:r>
      <w:r>
        <w:rPr>
          <w:rFonts w:ascii="宋体" w:hAnsi="宋体"/>
          <w:bCs/>
          <w:sz w:val="24"/>
        </w:rPr>
        <w:t xml:space="preserve">。</w:t>
      </w:r>
      <w:r/>
    </w:p>
    <w:p>
      <w:pPr>
        <w:pStyle w:val="370"/>
        <w:jc w:val="center"/>
        <w:snapToGrid w:val="1"/>
        <w:spacing w:after="0" w:before="0"/>
        <w:rPr>
          <w:rFonts w:hAnsi="宋体"/>
          <w:color w:val="000000"/>
          <w:sz w:val="30"/>
        </w:rPr>
      </w:pPr>
      <w:r/>
      <w:bookmarkStart w:id="386" w:name="_Toc48649720"/>
      <w:r/>
      <w:bookmarkStart w:id="387" w:name="_Toc79392641"/>
      <w:r/>
      <w:bookmarkStart w:id="388" w:name="_Toc98560365"/>
      <w:r/>
      <w:bookmarkStart w:id="389" w:name="_Toc123102467"/>
      <w:r/>
      <w:bookmarkStart w:id="390" w:name="_Toc123112248"/>
      <w:r/>
      <w:bookmarkStart w:id="391" w:name="_Toc123051466"/>
      <w:r>
        <w:rPr>
          <w:rFonts w:hAnsi="宋体"/>
          <w:b w:val="false"/>
          <w:bCs/>
          <w:color w:val="000000"/>
        </w:rPr>
        <w:br w:type="page"/>
      </w:r>
      <w:bookmarkStart w:id="392" w:name="_Toc9708"/>
      <w:r/>
      <w:bookmarkStart w:id="393" w:name="_Toc139991750"/>
      <w:r/>
      <w:bookmarkStart w:id="394" w:name="_Toc13398"/>
      <w:r/>
      <w:bookmarkStart w:id="395" w:name="_Toc21240"/>
      <w:r/>
      <w:bookmarkStart w:id="396" w:name="_Toc58146352"/>
      <w:r/>
      <w:bookmarkStart w:id="397" w:name="_Toc30645"/>
      <w:r/>
      <w:bookmarkStart w:id="398" w:name="_Toc23022"/>
      <w:r/>
      <w:bookmarkStart w:id="399" w:name="_Toc12191"/>
      <w:r/>
      <w:bookmarkStart w:id="400" w:name="_Toc7367"/>
      <w:r/>
      <w:bookmarkStart w:id="401" w:name="_Toc28549"/>
      <w:r/>
      <w:bookmarkStart w:id="402" w:name="_Toc8710"/>
      <w:r/>
      <w:bookmarkStart w:id="403" w:name="_Toc141703901"/>
      <w:r/>
      <w:bookmarkStart w:id="404" w:name="_Toc27058"/>
      <w:r>
        <w:rPr>
          <w:rFonts w:hAnsi="宋体"/>
          <w:color w:val="000000"/>
          <w:sz w:val="30"/>
        </w:rPr>
        <w:t xml:space="preserve">第二十</w:t>
      </w:r>
      <w:r>
        <w:rPr>
          <w:rFonts w:hAnsi="宋体"/>
          <w:color w:val="000000"/>
          <w:sz w:val="30"/>
        </w:rPr>
        <w:t xml:space="preserve">一</w:t>
      </w:r>
      <w:r>
        <w:rPr>
          <w:rFonts w:hAnsi="宋体"/>
          <w:color w:val="000000"/>
          <w:sz w:val="30"/>
        </w:rPr>
        <w:t xml:space="preserve">部分  违约责任</w:t>
      </w:r>
      <w:bookmarkEnd w:id="386"/>
      <w:r/>
      <w:bookmarkEnd w:id="387"/>
      <w:r/>
      <w:bookmarkEnd w:id="388"/>
      <w:r/>
      <w:bookmarkEnd w:id="389"/>
      <w:r/>
      <w:bookmarkEnd w:id="390"/>
      <w:r/>
      <w:bookmarkEnd w:id="391"/>
      <w:r/>
      <w:bookmarkEnd w:id="392"/>
      <w:r/>
      <w:bookmarkEnd w:id="393"/>
      <w:r/>
      <w:bookmarkEnd w:id="394"/>
      <w:r/>
      <w:bookmarkEnd w:id="395"/>
      <w:r/>
      <w:bookmarkEnd w:id="396"/>
      <w:r/>
      <w:bookmarkEnd w:id="397"/>
      <w:r/>
      <w:bookmarkEnd w:id="398"/>
      <w:r/>
      <w:bookmarkEnd w:id="399"/>
      <w:r/>
      <w:bookmarkEnd w:id="400"/>
      <w:r/>
      <w:bookmarkEnd w:id="401"/>
      <w:r/>
      <w:bookmarkEnd w:id="402"/>
      <w:r/>
      <w:bookmarkEnd w:id="403"/>
      <w:r/>
      <w:bookmarkEnd w:id="404"/>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一、管理人、托管人在履行各自职责的过程中，违反《基金法》等法律法规的规定或者《集合计划合同》约定，给</w:t>
      </w:r>
      <w:r>
        <w:rPr>
          <w:rFonts w:ascii="宋体" w:hAnsi="宋体"/>
          <w:bCs/>
          <w:sz w:val="24"/>
        </w:rPr>
        <w:t xml:space="preserve">集合计划</w:t>
      </w:r>
      <w:r>
        <w:rPr>
          <w:rFonts w:ascii="宋体" w:hAnsi="宋体"/>
          <w:bCs/>
          <w:sz w:val="24"/>
        </w:rPr>
        <w:t xml:space="preserve">财产或者集合计划份额持有人造成损害的，应当分别对各自的行为依法承担赔偿责任；因共同行为给</w:t>
      </w:r>
      <w:r>
        <w:rPr>
          <w:rFonts w:ascii="宋体" w:hAnsi="宋体"/>
          <w:bCs/>
          <w:sz w:val="24"/>
        </w:rPr>
        <w:t xml:space="preserve">集合计划</w:t>
      </w:r>
      <w:r>
        <w:rPr>
          <w:rFonts w:ascii="宋体" w:hAnsi="宋体"/>
          <w:bCs/>
          <w:sz w:val="24"/>
        </w:rPr>
        <w:t xml:space="preserve">财产或者集合计划份额持有人造成损害的，应当承担连带赔偿责任，对损失的赔偿，仅限于直接损失。</w:t>
      </w:r>
      <w:r>
        <w:rPr>
          <w:rFonts w:ascii="宋体" w:hAnsi="宋体"/>
          <w:bCs/>
          <w:sz w:val="24"/>
        </w:rPr>
        <w:t xml:space="preserve">但是发生下列情况的，当事人免责：</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1、不可抗力；</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2、管理人、托管人按照当时有效的法律、法规、规章或中国证监</w:t>
      </w:r>
      <w:r>
        <w:rPr>
          <w:rFonts w:ascii="宋体" w:hAnsi="宋体"/>
          <w:bCs/>
          <w:sz w:val="24"/>
        </w:rPr>
        <w:t xml:space="preserve">会的规定作为或不作为而造成的损失；</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3、管理人对按照本合同规定的投资原则行使或不行使其投资权而造成的损失。</w:t>
      </w:r>
      <w:r/>
    </w:p>
    <w:p>
      <w:pPr>
        <w:pStyle w:val="369"/>
        <w:ind w:firstLine="480"/>
        <w:snapToGrid w:val="1"/>
        <w:spacing w:lineRule="auto" w:line="360"/>
        <w:rPr>
          <w:rFonts w:ascii="宋体" w:hAnsi="宋体"/>
          <w:bCs/>
          <w:sz w:val="24"/>
        </w:rPr>
      </w:pPr>
      <w:r>
        <w:rPr>
          <w:rFonts w:ascii="宋体" w:hAnsi="宋体"/>
          <w:bCs/>
          <w:sz w:val="24"/>
        </w:rPr>
        <w:t xml:space="preserve">二、在发生一方或多方违约的情况下，在最大限度地保护集合计划份额持有人利益的前提下，《集合计划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r/>
    </w:p>
    <w:p>
      <w:pPr>
        <w:pStyle w:val="369"/>
        <w:ind w:firstLine="480"/>
        <w:snapToGrid w:val="1"/>
        <w:spacing w:lineRule="auto" w:line="360"/>
        <w:rPr>
          <w:rFonts w:ascii="宋体" w:hAnsi="宋体"/>
          <w:bCs/>
          <w:sz w:val="24"/>
        </w:rPr>
      </w:pPr>
      <w:r>
        <w:rPr>
          <w:rFonts w:ascii="宋体" w:hAnsi="宋体"/>
          <w:bCs/>
          <w:sz w:val="24"/>
        </w:rPr>
        <w:t xml:space="preserve">三、由于管理人、托管人不可控制的因素导致业务出现差错，管理人和托管人虽然已经采取必要、适当</w:t>
      </w:r>
      <w:r>
        <w:rPr>
          <w:rFonts w:ascii="宋体" w:hAnsi="宋体"/>
          <w:bCs/>
          <w:sz w:val="24"/>
        </w:rPr>
        <w:t xml:space="preserve">、合理的措施进行检查，但是未能发现错误的，由此造成</w:t>
      </w:r>
      <w:r>
        <w:rPr>
          <w:rFonts w:ascii="宋体" w:hAnsi="宋体"/>
          <w:bCs/>
          <w:sz w:val="24"/>
        </w:rPr>
        <w:t xml:space="preserve">集合计划</w:t>
      </w:r>
      <w:r>
        <w:rPr>
          <w:rFonts w:ascii="宋体" w:hAnsi="宋体"/>
          <w:bCs/>
          <w:sz w:val="24"/>
        </w:rPr>
        <w:t xml:space="preserve">财产或投资人损失，管理人和托管人免除赔偿责任。但是管理人和托管人应积极采取必要的措施</w:t>
      </w:r>
      <w:r>
        <w:rPr>
          <w:rFonts w:ascii="宋体" w:hAnsi="宋体"/>
          <w:bCs/>
          <w:sz w:val="24"/>
        </w:rPr>
        <w:t xml:space="preserve">减轻或</w:t>
      </w:r>
      <w:r>
        <w:rPr>
          <w:rFonts w:ascii="宋体" w:hAnsi="宋体"/>
          <w:bCs/>
          <w:sz w:val="24"/>
        </w:rPr>
        <w:t xml:space="preserve">消除由此造成的影响。</w:t>
      </w:r>
      <w:r/>
    </w:p>
    <w:p>
      <w:pPr>
        <w:pStyle w:val="370"/>
        <w:jc w:val="center"/>
        <w:snapToGrid w:val="1"/>
        <w:spacing w:after="0" w:before="0"/>
        <w:rPr>
          <w:rFonts w:hAnsi="宋体"/>
          <w:color w:val="000000"/>
          <w:sz w:val="30"/>
        </w:rPr>
      </w:pPr>
      <w:r>
        <w:rPr>
          <w:rFonts w:hAnsi="宋体"/>
          <w:b w:val="false"/>
          <w:bCs/>
          <w:color w:val="000000"/>
        </w:rPr>
        <w:br w:type="page"/>
      </w:r>
      <w:bookmarkStart w:id="405" w:name="_Toc123112249"/>
      <w:r/>
      <w:bookmarkStart w:id="406" w:name="_Toc123102468"/>
      <w:r/>
      <w:bookmarkStart w:id="407" w:name="_Toc123051467"/>
      <w:r/>
      <w:bookmarkStart w:id="408" w:name="_Toc98560366"/>
      <w:r/>
      <w:bookmarkStart w:id="409" w:name="_Toc1790"/>
      <w:r/>
      <w:bookmarkStart w:id="410" w:name="_Toc25651"/>
      <w:r/>
      <w:bookmarkStart w:id="411" w:name="_Toc6202"/>
      <w:r/>
      <w:bookmarkStart w:id="412" w:name="_Toc8636"/>
      <w:r/>
      <w:bookmarkStart w:id="413" w:name="_Toc58146353"/>
      <w:r/>
      <w:bookmarkStart w:id="414" w:name="_Toc3319"/>
      <w:r/>
      <w:bookmarkStart w:id="415" w:name="_Toc23999"/>
      <w:r/>
      <w:bookmarkStart w:id="416" w:name="_Toc21983"/>
      <w:r/>
      <w:bookmarkStart w:id="417" w:name="_Toc30350"/>
      <w:r/>
      <w:bookmarkStart w:id="418" w:name="_Toc24923"/>
      <w:r/>
      <w:bookmarkStart w:id="419" w:name="_Toc7288"/>
      <w:r/>
      <w:bookmarkStart w:id="420" w:name="_Toc141703902"/>
      <w:r/>
      <w:bookmarkStart w:id="421" w:name="_Toc139991751"/>
      <w:r>
        <w:rPr>
          <w:rFonts w:hAnsi="宋体"/>
          <w:color w:val="000000"/>
          <w:sz w:val="30"/>
        </w:rPr>
        <w:t xml:space="preserve">第二十</w:t>
      </w:r>
      <w:r>
        <w:rPr>
          <w:rFonts w:hAnsi="宋体"/>
          <w:color w:val="000000"/>
          <w:sz w:val="30"/>
        </w:rPr>
        <w:t xml:space="preserve">二</w:t>
      </w:r>
      <w:r>
        <w:rPr>
          <w:rFonts w:hAnsi="宋体"/>
          <w:color w:val="000000"/>
          <w:sz w:val="30"/>
        </w:rPr>
        <w:t xml:space="preserve">部分  争议的处理和适用的法律</w:t>
      </w:r>
      <w:bookmarkEnd w:id="405"/>
      <w:r/>
      <w:bookmarkEnd w:id="406"/>
      <w:r/>
      <w:bookmarkEnd w:id="407"/>
      <w:r/>
      <w:bookmarkEnd w:id="408"/>
      <w:r/>
      <w:bookmarkEnd w:id="409"/>
      <w:r/>
      <w:bookmarkEnd w:id="410"/>
      <w:r/>
      <w:bookmarkEnd w:id="411"/>
      <w:r/>
      <w:bookmarkEnd w:id="412"/>
      <w:r/>
      <w:bookmarkEnd w:id="413"/>
      <w:r/>
      <w:bookmarkEnd w:id="414"/>
      <w:r/>
      <w:bookmarkEnd w:id="415"/>
      <w:r/>
      <w:bookmarkEnd w:id="416"/>
      <w:r/>
      <w:bookmarkEnd w:id="417"/>
      <w:r/>
      <w:bookmarkEnd w:id="418"/>
      <w:r/>
      <w:bookmarkEnd w:id="419"/>
      <w:r/>
      <w:bookmarkEnd w:id="420"/>
      <w:r/>
      <w:bookmarkEnd w:id="421"/>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sz w:val="24"/>
        </w:rPr>
      </w:pPr>
      <w:r>
        <w:rPr>
          <w:rFonts w:ascii="宋体" w:hAnsi="宋体"/>
          <w:bCs/>
          <w:sz w:val="24"/>
        </w:rPr>
        <w:t xml:space="preserve">各方当事人同意，因《集合计划合同》而产生的或与《集合计划合同》有关的一切争议，如经友好协商未能解决的，应提交上海国际经济贸易仲裁委员会</w:t>
      </w:r>
      <w:r>
        <w:rPr>
          <w:rFonts w:ascii="宋体" w:hAnsi="宋体"/>
          <w:bCs/>
          <w:sz w:val="24"/>
        </w:rPr>
        <w:t xml:space="preserve">（上海国际仲裁中心），</w:t>
      </w:r>
      <w:r>
        <w:rPr>
          <w:rFonts w:ascii="宋体" w:hAnsi="宋体"/>
          <w:bCs/>
          <w:sz w:val="24"/>
        </w:rPr>
        <w:t xml:space="preserve">根据</w:t>
      </w:r>
      <w:r>
        <w:rPr>
          <w:rFonts w:ascii="宋体" w:hAnsi="宋体"/>
          <w:bCs/>
          <w:sz w:val="24"/>
        </w:rPr>
        <w:t xml:space="preserve">其届时有效的仲裁规则进行仲裁，仲裁地为上海。</w:t>
      </w:r>
      <w:r>
        <w:rPr>
          <w:rFonts w:ascii="宋体" w:hAnsi="宋体"/>
          <w:sz w:val="24"/>
        </w:rPr>
        <w:t xml:space="preserve">仲裁裁决是终局的，并对相关各方当事人均有约束力。仲裁费用由败诉方承担。</w:t>
      </w:r>
      <w:r>
        <w:rPr>
          <w:rFonts w:ascii="宋体" w:hAnsi="宋体"/>
          <w:sz w:val="24"/>
        </w:rPr>
      </w:r>
      <w:r/>
    </w:p>
    <w:p>
      <w:pPr>
        <w:pStyle w:val="369"/>
        <w:ind w:firstLine="480"/>
        <w:snapToGrid w:val="1"/>
        <w:spacing w:lineRule="auto" w:line="360"/>
        <w:rPr>
          <w:rFonts w:ascii="宋体" w:hAnsi="宋体"/>
          <w:bCs/>
          <w:sz w:val="24"/>
        </w:rPr>
      </w:pPr>
      <w:r>
        <w:rPr>
          <w:rFonts w:ascii="宋体" w:hAnsi="宋体"/>
          <w:sz w:val="24"/>
        </w:rPr>
        <w:t xml:space="preserve">争议</w:t>
      </w:r>
      <w:r>
        <w:rPr>
          <w:rFonts w:ascii="宋体" w:hAnsi="宋体"/>
          <w:bCs/>
          <w:sz w:val="24"/>
        </w:rPr>
        <w:t xml:space="preserve">处理期间，本合同当</w:t>
      </w:r>
      <w:r>
        <w:rPr>
          <w:rFonts w:ascii="宋体" w:hAnsi="宋体"/>
          <w:bCs/>
          <w:sz w:val="24"/>
        </w:rPr>
        <w:t xml:space="preserve">事人应恪守各自的职责，继续忠实、勤勉、尽责地履行集合计划合同规定的义务，维护集合计划份额持有人</w:t>
      </w:r>
      <w:r>
        <w:rPr>
          <w:rFonts w:ascii="宋体" w:hAnsi="宋体"/>
          <w:sz w:val="24"/>
        </w:rPr>
        <w:t xml:space="preserve">的</w:t>
      </w:r>
      <w:r>
        <w:rPr>
          <w:rFonts w:ascii="宋体" w:hAnsi="宋体"/>
          <w:bCs/>
          <w:sz w:val="24"/>
        </w:rPr>
        <w:t xml:space="preserve">合法权益</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《集合计划合同》受中国法律管辖。</w:t>
      </w:r>
      <w:r/>
    </w:p>
    <w:p>
      <w:pPr>
        <w:pStyle w:val="370"/>
        <w:jc w:val="center"/>
        <w:snapToGrid w:val="1"/>
        <w:spacing w:after="0" w:before="0"/>
        <w:rPr>
          <w:rFonts w:hAnsi="宋体"/>
          <w:color w:val="000000"/>
          <w:sz w:val="30"/>
        </w:rPr>
      </w:pPr>
      <w:r/>
      <w:bookmarkStart w:id="422" w:name="_Toc23991"/>
      <w:r/>
      <w:bookmarkStart w:id="423" w:name="_Toc31966"/>
      <w:r/>
      <w:bookmarkStart w:id="424" w:name="_Toc29505"/>
      <w:r/>
      <w:bookmarkStart w:id="425" w:name="_Toc141703903"/>
      <w:r/>
      <w:bookmarkStart w:id="426" w:name="_Toc26461"/>
      <w:r/>
      <w:bookmarkStart w:id="427" w:name="_Toc123102469"/>
      <w:r/>
      <w:bookmarkStart w:id="428" w:name="_Toc123051468"/>
      <w:r/>
      <w:bookmarkStart w:id="429" w:name="_Toc8703"/>
      <w:r/>
      <w:bookmarkStart w:id="430" w:name="_Toc123112250"/>
      <w:r/>
      <w:bookmarkStart w:id="431" w:name="_Toc20350"/>
      <w:r/>
      <w:bookmarkStart w:id="432" w:name="_Toc2532"/>
      <w:r/>
      <w:bookmarkStart w:id="433" w:name="_Toc139991752"/>
      <w:r/>
      <w:bookmarkStart w:id="434" w:name="_Toc11618"/>
      <w:r/>
      <w:bookmarkStart w:id="435" w:name="_Toc8454"/>
      <w:r/>
      <w:bookmarkStart w:id="436" w:name="_Toc484"/>
      <w:r>
        <w:rPr>
          <w:rFonts w:hAnsi="宋体"/>
          <w:color w:val="000000"/>
          <w:sz w:val="30"/>
        </w:rPr>
        <w:br w:type="page"/>
      </w:r>
      <w:bookmarkStart w:id="437" w:name="_Toc58146354"/>
      <w:r>
        <w:rPr>
          <w:rFonts w:hAnsi="宋体"/>
          <w:color w:val="000000"/>
          <w:sz w:val="30"/>
        </w:rPr>
        <w:t xml:space="preserve">第二十</w:t>
      </w:r>
      <w:r>
        <w:rPr>
          <w:rFonts w:hAnsi="宋体"/>
          <w:color w:val="000000"/>
          <w:sz w:val="30"/>
        </w:rPr>
        <w:t xml:space="preserve">三</w:t>
      </w:r>
      <w:r>
        <w:rPr>
          <w:rFonts w:hAnsi="宋体"/>
          <w:color w:val="000000"/>
          <w:sz w:val="30"/>
        </w:rPr>
        <w:t xml:space="preserve">部分  集合计划合同的效力</w:t>
      </w:r>
      <w:bookmarkEnd w:id="422"/>
      <w:r/>
      <w:bookmarkEnd w:id="423"/>
      <w:r/>
      <w:bookmarkEnd w:id="424"/>
      <w:r/>
      <w:bookmarkEnd w:id="425"/>
      <w:r/>
      <w:bookmarkEnd w:id="426"/>
      <w:r/>
      <w:bookmarkEnd w:id="427"/>
      <w:r/>
      <w:bookmarkEnd w:id="428"/>
      <w:r/>
      <w:bookmarkEnd w:id="429"/>
      <w:r/>
      <w:bookmarkEnd w:id="430"/>
      <w:r/>
      <w:bookmarkEnd w:id="431"/>
      <w:r/>
      <w:bookmarkEnd w:id="432"/>
      <w:r/>
      <w:bookmarkEnd w:id="433"/>
      <w:r/>
      <w:bookmarkEnd w:id="434"/>
      <w:r/>
      <w:bookmarkEnd w:id="435"/>
      <w:r/>
      <w:bookmarkEnd w:id="436"/>
      <w:r/>
      <w:bookmarkEnd w:id="437"/>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《集合计划合同》是约定</w:t>
      </w:r>
      <w:r>
        <w:rPr>
          <w:rFonts w:ascii="宋体" w:hAnsi="宋体"/>
          <w:bCs/>
          <w:sz w:val="24"/>
        </w:rPr>
        <w:t xml:space="preserve">集合计划合同当事人</w:t>
      </w:r>
      <w:r>
        <w:rPr>
          <w:rFonts w:ascii="宋体" w:hAnsi="宋体"/>
          <w:bCs/>
          <w:sz w:val="24"/>
        </w:rPr>
        <w:t xml:space="preserve">之间权利义务关系的法律文件。</w:t>
      </w:r>
      <w:r/>
    </w:p>
    <w:p>
      <w:pPr>
        <w:pStyle w:val="369"/>
        <w:ind w:firstLine="480"/>
        <w:snapToGrid w:val="1"/>
        <w:spacing w:lineRule="auto" w:line="360"/>
        <w:rPr>
          <w:rFonts w:ascii="宋体" w:hAnsi="宋体"/>
          <w:bCs/>
          <w:sz w:val="24"/>
        </w:rPr>
      </w:pPr>
      <w:r>
        <w:rPr>
          <w:rFonts w:ascii="宋体" w:hAnsi="宋体"/>
          <w:bCs/>
          <w:sz w:val="24"/>
        </w:rPr>
        <w:t xml:space="preserve">1、《集合计划合同》</w:t>
      </w:r>
      <w:r>
        <w:rPr>
          <w:rFonts w:ascii="宋体" w:hAnsi="宋体"/>
          <w:bCs/>
          <w:sz w:val="24"/>
        </w:rPr>
        <w:t xml:space="preserve">经管理人、托管人双方盖章以及双方法定代表人或授权代表签字或盖章并经管理人向中国证监会提交变更《东海证券东风9号集合资产管理计划合同》的申请并经中国证监会批准后，于</w:t>
      </w:r>
      <w:r>
        <w:rPr>
          <w:rFonts w:ascii="宋体" w:hAnsi="宋体"/>
          <w:bCs/>
          <w:sz w:val="24"/>
        </w:rPr>
        <w:t xml:space="preserve">202</w:t>
      </w:r>
      <w:r>
        <w:rPr>
          <w:rFonts w:ascii="宋体" w:hAnsi="宋体"/>
          <w:bCs/>
          <w:sz w:val="24"/>
        </w:rPr>
        <w:t xml:space="preserve">  </w:t>
      </w:r>
      <w:r>
        <w:rPr>
          <w:rFonts w:ascii="宋体" w:hAnsi="宋体"/>
          <w:bCs/>
          <w:sz w:val="24"/>
        </w:rPr>
        <w:t xml:space="preserve">年   月   日</w:t>
      </w:r>
      <w:r>
        <w:rPr>
          <w:rFonts w:ascii="宋体" w:hAnsi="宋体"/>
          <w:bCs/>
          <w:sz w:val="24"/>
        </w:rPr>
        <w:t xml:space="preserve">起生效，原《东海证券东风9号集合资产管理计划合</w:t>
      </w:r>
      <w:r>
        <w:rPr>
          <w:rFonts w:ascii="宋体" w:hAnsi="宋体"/>
          <w:bCs/>
          <w:sz w:val="24"/>
        </w:rPr>
        <w:t xml:space="preserve">同》同日起失效</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2、《集合计划合同》的有效期自其生效之日起至</w:t>
      </w:r>
      <w:r>
        <w:rPr>
          <w:rFonts w:ascii="宋体" w:hAnsi="宋体"/>
          <w:bCs/>
          <w:sz w:val="24"/>
        </w:rPr>
        <w:t xml:space="preserve">集合计划</w:t>
      </w:r>
      <w:r>
        <w:rPr>
          <w:rFonts w:ascii="宋体" w:hAnsi="宋体"/>
          <w:bCs/>
          <w:sz w:val="24"/>
        </w:rPr>
        <w:t xml:space="preserve">财产清算结果报中国证监会</w:t>
      </w:r>
      <w:r>
        <w:rPr>
          <w:rFonts w:ascii="宋体" w:hAnsi="宋体"/>
          <w:bCs/>
          <w:sz w:val="24"/>
        </w:rPr>
        <w:t xml:space="preserve">备案</w:t>
      </w:r>
      <w:r>
        <w:rPr>
          <w:rFonts w:ascii="宋体" w:hAnsi="宋体"/>
          <w:bCs/>
          <w:sz w:val="24"/>
        </w:rPr>
        <w:t xml:space="preserve">并公告之日止。</w:t>
      </w:r>
      <w:r/>
    </w:p>
    <w:p>
      <w:pPr>
        <w:pStyle w:val="369"/>
        <w:ind w:firstLine="480"/>
        <w:snapToGrid w:val="1"/>
        <w:spacing w:lineRule="auto" w:line="360"/>
        <w:rPr>
          <w:rFonts w:ascii="宋体" w:hAnsi="宋体"/>
          <w:bCs/>
          <w:sz w:val="24"/>
        </w:rPr>
      </w:pPr>
      <w:r>
        <w:rPr>
          <w:rFonts w:ascii="宋体" w:hAnsi="宋体"/>
          <w:bCs/>
          <w:sz w:val="24"/>
        </w:rPr>
        <w:t xml:space="preserve">3、《集合计划合同》自生效之日起对包括管理人、托管人和集合计划份额持有人在内的《集合计划合同》各方当事人具有同等的法律约束力。</w:t>
      </w:r>
      <w:r/>
    </w:p>
    <w:p>
      <w:pPr>
        <w:pStyle w:val="369"/>
        <w:ind w:firstLine="480"/>
        <w:snapToGrid w:val="1"/>
        <w:spacing w:lineRule="auto" w:line="360"/>
        <w:rPr>
          <w:rFonts w:ascii="宋体" w:hAnsi="宋体"/>
          <w:bCs/>
          <w:sz w:val="24"/>
        </w:rPr>
      </w:pPr>
      <w:r>
        <w:rPr>
          <w:rFonts w:ascii="宋体" w:hAnsi="宋体"/>
          <w:bCs/>
          <w:sz w:val="24"/>
        </w:rPr>
        <w:t xml:space="preserve">4、《集合计划合同》正本一式</w:t>
      </w:r>
      <w:r>
        <w:rPr>
          <w:rFonts w:ascii="宋体" w:hAnsi="宋体"/>
          <w:bCs/>
          <w:sz w:val="24"/>
        </w:rPr>
        <w:t xml:space="preserve">伍</w:t>
      </w:r>
      <w:r>
        <w:rPr>
          <w:rFonts w:ascii="宋体" w:hAnsi="宋体"/>
          <w:bCs/>
          <w:sz w:val="24"/>
        </w:rPr>
        <w:t xml:space="preserve">份，除上报有关监管机构一式</w:t>
      </w:r>
      <w:r>
        <w:rPr>
          <w:rFonts w:ascii="宋体" w:hAnsi="宋体"/>
          <w:bCs/>
          <w:sz w:val="24"/>
        </w:rPr>
        <w:t xml:space="preserve">贰</w:t>
      </w:r>
      <w:r>
        <w:rPr>
          <w:rFonts w:ascii="宋体" w:hAnsi="宋体"/>
          <w:bCs/>
          <w:sz w:val="24"/>
        </w:rPr>
        <w:t xml:space="preserve">份外，管理人持有贰份、托管人持有壹份，每份具有同等的法律效力。</w:t>
      </w:r>
      <w:r/>
    </w:p>
    <w:p>
      <w:pPr>
        <w:pStyle w:val="369"/>
        <w:ind w:firstLine="480"/>
        <w:snapToGrid w:val="1"/>
        <w:spacing w:lineRule="auto" w:line="360"/>
        <w:rPr>
          <w:rFonts w:ascii="宋体" w:hAnsi="宋体"/>
          <w:bCs/>
          <w:sz w:val="24"/>
        </w:rPr>
      </w:pPr>
      <w:r>
        <w:rPr>
          <w:rFonts w:ascii="宋体" w:hAnsi="宋体"/>
          <w:bCs/>
          <w:sz w:val="24"/>
        </w:rPr>
        <w:t xml:space="preserve">5、《集合计划合同》可印制成册，供投资者在管理人、托管人、销售机构的办公场所和营业场所查阅。</w:t>
      </w:r>
      <w:r/>
    </w:p>
    <w:p>
      <w:pPr>
        <w:pStyle w:val="370"/>
        <w:jc w:val="center"/>
        <w:snapToGrid w:val="1"/>
        <w:spacing w:after="0" w:before="0"/>
        <w:rPr>
          <w:rFonts w:hAnsi="宋体"/>
          <w:color w:val="000000"/>
          <w:sz w:val="30"/>
        </w:rPr>
      </w:pPr>
      <w:r>
        <w:rPr>
          <w:rFonts w:hAnsi="宋体"/>
          <w:b w:val="false"/>
          <w:bCs/>
          <w:color w:val="000000"/>
        </w:rPr>
        <w:br w:type="page"/>
      </w:r>
      <w:bookmarkStart w:id="438" w:name="_Toc21726"/>
      <w:r/>
      <w:bookmarkStart w:id="439" w:name="_Toc58146355"/>
      <w:r>
        <w:rPr>
          <w:rFonts w:hAnsi="宋体"/>
          <w:color w:val="000000"/>
          <w:sz w:val="30"/>
        </w:rPr>
        <w:t xml:space="preserve">第二十四部分  其他事项</w:t>
      </w:r>
      <w:bookmarkEnd w:id="438"/>
      <w:r/>
      <w:bookmarkEnd w:id="439"/>
      <w:r>
        <w:rPr>
          <w:rFonts w:hAnsi="宋体"/>
          <w:color w:val="000000"/>
          <w:sz w:val="30"/>
        </w:rPr>
      </w:r>
      <w:r/>
    </w:p>
    <w:p>
      <w:pPr>
        <w:pStyle w:val="369"/>
        <w:ind w:firstLine="480"/>
        <w:snapToGrid w:val="1"/>
        <w:spacing w:lineRule="auto" w:line="360"/>
        <w:rPr>
          <w:rFonts w:ascii="宋体" w:hAnsi="宋体"/>
          <w:sz w:val="24"/>
        </w:rPr>
      </w:pPr>
      <w:r>
        <w:rPr>
          <w:rFonts w:ascii="宋体" w:hAnsi="宋体"/>
          <w:sz w:val="24"/>
        </w:rPr>
      </w:r>
      <w:r/>
    </w:p>
    <w:p>
      <w:pPr>
        <w:pStyle w:val="369"/>
        <w:ind w:firstLine="480"/>
        <w:snapToGrid w:val="1"/>
        <w:spacing w:lineRule="auto" w:line="360"/>
        <w:rPr>
          <w:rFonts w:ascii="宋体" w:hAnsi="宋体"/>
          <w:sz w:val="24"/>
        </w:rPr>
      </w:pPr>
      <w:r>
        <w:rPr>
          <w:rFonts w:ascii="宋体" w:hAnsi="宋体"/>
          <w:sz w:val="24"/>
        </w:rPr>
        <w:t xml:space="preserve">《集合计划合同》如有未尽</w:t>
      </w:r>
      <w:r>
        <w:rPr>
          <w:rFonts w:ascii="宋体" w:hAnsi="宋体"/>
          <w:sz w:val="24"/>
        </w:rPr>
        <w:t xml:space="preserve">事宜，由《集合计划合同》当事人各方按有关法律法规协商解决。</w:t>
      </w:r>
      <w:r>
        <w:rPr>
          <w:rFonts w:ascii="宋体" w:hAnsi="宋体"/>
          <w:sz w:val="24"/>
        </w:rPr>
      </w:r>
      <w:r/>
    </w:p>
    <w:p>
      <w:pPr>
        <w:pStyle w:val="370"/>
        <w:jc w:val="center"/>
        <w:snapToGrid w:val="1"/>
        <w:spacing w:after="0" w:before="0"/>
        <w:rPr>
          <w:rFonts w:hAnsi="宋体"/>
          <w:color w:val="000000"/>
          <w:sz w:val="30"/>
        </w:rPr>
      </w:pPr>
      <w:r/>
      <w:bookmarkStart w:id="440" w:name="_Toc141703905"/>
      <w:r/>
      <w:bookmarkStart w:id="441" w:name="_Toc9054"/>
      <w:r/>
      <w:bookmarkStart w:id="442" w:name="_Toc21122"/>
      <w:r/>
      <w:bookmarkStart w:id="443" w:name="_Toc17263"/>
      <w:r/>
      <w:bookmarkStart w:id="444" w:name="_Toc5108"/>
      <w:r/>
      <w:bookmarkStart w:id="445" w:name="_Toc32355"/>
      <w:r/>
      <w:bookmarkStart w:id="446" w:name="_Toc20098"/>
      <w:r/>
      <w:bookmarkStart w:id="447" w:name="_Toc1360"/>
      <w:r/>
      <w:bookmarkStart w:id="448" w:name="_Toc15664"/>
      <w:r/>
      <w:bookmarkStart w:id="449" w:name="_Toc12499"/>
      <w:r/>
      <w:bookmarkStart w:id="450" w:name="_Toc7437"/>
      <w:r>
        <w:rPr>
          <w:rFonts w:hAnsi="宋体"/>
          <w:color w:val="000000"/>
          <w:sz w:val="30"/>
        </w:rPr>
        <w:br w:type="page"/>
      </w:r>
      <w:bookmarkStart w:id="451" w:name="_Toc58146356"/>
      <w:r>
        <w:rPr>
          <w:rFonts w:hAnsi="宋体"/>
          <w:color w:val="000000"/>
          <w:sz w:val="30"/>
        </w:rPr>
        <w:t xml:space="preserve">第二十</w:t>
      </w:r>
      <w:r>
        <w:rPr>
          <w:rFonts w:hAnsi="宋体"/>
          <w:color w:val="000000"/>
          <w:sz w:val="30"/>
        </w:rPr>
        <w:t xml:space="preserve">五</w:t>
      </w:r>
      <w:r>
        <w:rPr>
          <w:rFonts w:hAnsi="宋体"/>
          <w:color w:val="000000"/>
          <w:sz w:val="30"/>
        </w:rPr>
        <w:t xml:space="preserve">部分  集合计划合同内容摘要</w:t>
      </w:r>
      <w:bookmarkEnd w:id="384"/>
      <w:r/>
      <w:bookmarkEnd w:id="385"/>
      <w:r/>
      <w:bookmarkEnd w:id="440"/>
      <w:r/>
      <w:bookmarkEnd w:id="441"/>
      <w:r/>
      <w:bookmarkEnd w:id="442"/>
      <w:r/>
      <w:bookmarkEnd w:id="443"/>
      <w:r/>
      <w:bookmarkEnd w:id="444"/>
      <w:r/>
      <w:bookmarkEnd w:id="445"/>
      <w:r/>
      <w:bookmarkEnd w:id="446"/>
      <w:r/>
      <w:bookmarkEnd w:id="447"/>
      <w:r/>
      <w:bookmarkEnd w:id="448"/>
      <w:r/>
      <w:bookmarkEnd w:id="449"/>
      <w:r/>
      <w:bookmarkEnd w:id="450"/>
      <w:r/>
      <w:bookmarkEnd w:id="451"/>
      <w:r>
        <w:rPr>
          <w:rFonts w:hAnsi="宋体"/>
          <w:color w:val="000000"/>
          <w:sz w:val="30"/>
        </w:rPr>
      </w:r>
      <w:r/>
    </w:p>
    <w:p>
      <w:pPr>
        <w:pStyle w:val="369"/>
        <w:ind w:firstLine="480"/>
        <w:snapToGrid w:val="1"/>
        <w:spacing w:lineRule="auto" w:line="360"/>
        <w:rPr>
          <w:rFonts w:ascii="宋体" w:hAnsi="宋体"/>
          <w:bCs/>
          <w:sz w:val="24"/>
        </w:rPr>
      </w:pPr>
      <w:r>
        <w:rPr>
          <w:rFonts w:ascii="宋体" w:hAnsi="宋体"/>
          <w:bCs/>
          <w:sz w:val="24"/>
        </w:rPr>
        <w:t xml:space="preserve">一、</w:t>
      </w:r>
      <w:r>
        <w:rPr>
          <w:rFonts w:ascii="宋体" w:hAnsi="宋体"/>
          <w:bCs/>
          <w:sz w:val="24"/>
        </w:rPr>
        <w:t xml:space="preserve">集合计划合同当事人及权利义务</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（一）管理人的权利与义务</w:t>
      </w:r>
      <w:r/>
    </w:p>
    <w:p>
      <w:pPr>
        <w:pStyle w:val="369"/>
        <w:ind w:firstLine="480"/>
        <w:snapToGrid w:val="1"/>
        <w:spacing w:lineRule="auto" w:line="360"/>
        <w:rPr>
          <w:rFonts w:ascii="宋体" w:hAnsi="宋体"/>
          <w:bCs/>
          <w:sz w:val="24"/>
        </w:rPr>
      </w:pPr>
      <w:r>
        <w:rPr>
          <w:rFonts w:ascii="宋体" w:hAnsi="宋体"/>
          <w:bCs/>
          <w:sz w:val="24"/>
        </w:rPr>
        <w:t xml:space="preserve">1、根据《基金法》、《运作办法》及其他有关规定，管理人的权利包括但不限于：</w:t>
      </w:r>
      <w:r/>
    </w:p>
    <w:p>
      <w:pPr>
        <w:pStyle w:val="369"/>
        <w:ind w:firstLine="480"/>
        <w:snapToGrid w:val="1"/>
        <w:spacing w:lineRule="auto" w:line="360"/>
        <w:rPr>
          <w:rFonts w:ascii="宋体" w:hAnsi="宋体"/>
          <w:bCs/>
          <w:sz w:val="24"/>
        </w:rPr>
      </w:pPr>
      <w:r>
        <w:rPr>
          <w:rFonts w:ascii="宋体" w:hAnsi="宋体"/>
          <w:bCs/>
          <w:sz w:val="24"/>
        </w:rPr>
        <w:t xml:space="preserve">（1）依法募集资金；</w:t>
      </w:r>
      <w:r/>
    </w:p>
    <w:p>
      <w:pPr>
        <w:pStyle w:val="369"/>
        <w:ind w:firstLine="480"/>
        <w:snapToGrid w:val="1"/>
        <w:spacing w:lineRule="auto" w:line="360"/>
        <w:rPr>
          <w:rFonts w:ascii="宋体" w:hAnsi="宋体"/>
          <w:bCs/>
          <w:sz w:val="24"/>
        </w:rPr>
      </w:pPr>
      <w:r>
        <w:rPr>
          <w:rFonts w:ascii="宋体" w:hAnsi="宋体"/>
          <w:bCs/>
          <w:sz w:val="24"/>
        </w:rPr>
        <w:t xml:space="preserve">（2）自《集合计划合同》生效之日起，根据法律法规和《集合计划合同》独立运用并管理</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（3）依照《集合计划合同》收取</w:t>
      </w:r>
      <w:r>
        <w:rPr>
          <w:rFonts w:ascii="宋体" w:hAnsi="宋体"/>
          <w:bCs/>
          <w:sz w:val="24"/>
        </w:rPr>
        <w:t xml:space="preserve">集合计划</w:t>
      </w:r>
      <w:r>
        <w:rPr>
          <w:rFonts w:ascii="宋体" w:hAnsi="宋体"/>
          <w:bCs/>
          <w:sz w:val="24"/>
        </w:rPr>
        <w:t xml:space="preserve">管理费以及法律法规规定或中国证监会批准的其他费用；</w:t>
      </w:r>
      <w:r/>
    </w:p>
    <w:p>
      <w:pPr>
        <w:pStyle w:val="369"/>
        <w:ind w:firstLine="480"/>
        <w:snapToGrid w:val="1"/>
        <w:spacing w:lineRule="auto" w:line="360"/>
        <w:rPr>
          <w:rFonts w:ascii="宋体" w:hAnsi="宋体"/>
          <w:bCs/>
          <w:sz w:val="24"/>
        </w:rPr>
      </w:pPr>
      <w:r>
        <w:rPr>
          <w:rFonts w:ascii="宋体" w:hAnsi="宋体"/>
          <w:bCs/>
          <w:sz w:val="24"/>
        </w:rPr>
        <w:t xml:space="preserve">（4）销售</w:t>
      </w:r>
      <w:r>
        <w:rPr>
          <w:rFonts w:ascii="宋体" w:hAnsi="宋体"/>
          <w:bCs/>
          <w:sz w:val="24"/>
        </w:rPr>
        <w:t xml:space="preserve">集合计划</w:t>
      </w:r>
      <w:r>
        <w:rPr>
          <w:rFonts w:ascii="宋体" w:hAnsi="宋体"/>
          <w:bCs/>
          <w:sz w:val="24"/>
        </w:rPr>
        <w:t xml:space="preserve">份额；</w:t>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按照规定</w:t>
      </w:r>
      <w:r>
        <w:rPr>
          <w:rFonts w:ascii="宋体" w:hAnsi="宋体"/>
          <w:bCs/>
          <w:sz w:val="24"/>
        </w:rPr>
        <w:t xml:space="preserve">召集</w:t>
      </w:r>
      <w:r>
        <w:rPr>
          <w:rFonts w:ascii="宋体" w:hAnsi="宋体"/>
          <w:bCs/>
          <w:sz w:val="24"/>
        </w:rPr>
        <w:t xml:space="preserve">集合计划</w:t>
      </w:r>
      <w:r>
        <w:rPr>
          <w:rFonts w:ascii="宋体" w:hAnsi="宋体"/>
          <w:bCs/>
          <w:sz w:val="24"/>
        </w:rPr>
        <w:t xml:space="preserve">份额持有人大会；</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（6）依据《集合计划合同》及有关法律规定监督托管人，如认为托管人违反了《集合计划合同》及国家有关法律规定，应呈报中国证监会和其他监管部门，并采取必要措施保护</w:t>
      </w:r>
      <w:r>
        <w:rPr>
          <w:rFonts w:ascii="宋体" w:hAnsi="宋体"/>
          <w:bCs/>
          <w:sz w:val="24"/>
        </w:rPr>
        <w:t xml:space="preserve">集合计划</w:t>
      </w:r>
      <w:r>
        <w:rPr>
          <w:rFonts w:ascii="宋体" w:hAnsi="宋体"/>
          <w:bCs/>
          <w:sz w:val="24"/>
        </w:rPr>
        <w:t xml:space="preserve">投资者的利益；</w:t>
      </w:r>
      <w:r/>
    </w:p>
    <w:p>
      <w:pPr>
        <w:pStyle w:val="369"/>
        <w:ind w:firstLine="480"/>
        <w:snapToGrid w:val="1"/>
        <w:spacing w:lineRule="auto" w:line="360"/>
        <w:rPr>
          <w:rFonts w:ascii="宋体" w:hAnsi="宋体"/>
          <w:bCs/>
          <w:sz w:val="24"/>
        </w:rPr>
      </w:pPr>
      <w:r>
        <w:rPr>
          <w:rFonts w:ascii="宋体" w:hAnsi="宋体"/>
          <w:bCs/>
          <w:sz w:val="24"/>
        </w:rPr>
        <w:t xml:space="preserve">（7）在托管人更换时，提名新的托管人；</w:t>
      </w:r>
      <w:r/>
    </w:p>
    <w:p>
      <w:pPr>
        <w:pStyle w:val="369"/>
        <w:ind w:firstLine="480"/>
        <w:snapToGrid w:val="1"/>
        <w:spacing w:lineRule="atLeast" w:line="440"/>
        <w:rPr>
          <w:rFonts w:ascii="宋体" w:hAnsi="宋体"/>
          <w:bCs/>
          <w:sz w:val="24"/>
        </w:rPr>
      </w:pPr>
      <w:r>
        <w:rPr>
          <w:rFonts w:ascii="宋体" w:hAnsi="宋体"/>
          <w:bCs/>
          <w:sz w:val="24"/>
        </w:rPr>
        <w:t xml:space="preserve">（8）选择、更换集合计划销售机构，对集合计划销售机构的相关行为进行监督和处理； </w:t>
      </w:r>
      <w:r/>
    </w:p>
    <w:p>
      <w:pPr>
        <w:pStyle w:val="369"/>
        <w:ind w:firstLine="480"/>
        <w:snapToGrid w:val="1"/>
        <w:spacing w:lineRule="atLeast" w:line="440"/>
        <w:rPr>
          <w:rFonts w:ascii="宋体" w:hAnsi="宋体"/>
          <w:bCs/>
          <w:sz w:val="24"/>
        </w:rPr>
      </w:pPr>
      <w:r>
        <w:rPr>
          <w:rFonts w:ascii="宋体" w:hAnsi="宋体"/>
          <w:bCs/>
          <w:sz w:val="24"/>
        </w:rPr>
        <w:t xml:space="preserve">（9）担任或委托其他符合条件的机构担任集合计划登记机构办理</w:t>
      </w:r>
      <w:r>
        <w:rPr>
          <w:rFonts w:ascii="宋体" w:hAnsi="宋体"/>
          <w:bCs/>
          <w:sz w:val="24"/>
        </w:rPr>
        <w:t xml:space="preserve">集合计划</w:t>
      </w:r>
      <w:r>
        <w:rPr>
          <w:rFonts w:ascii="宋体" w:hAnsi="宋体"/>
          <w:bCs/>
          <w:sz w:val="24"/>
        </w:rPr>
        <w:t xml:space="preserve">登记业务并获得《集合计划合同》规定的费用； </w:t>
      </w:r>
      <w:r/>
    </w:p>
    <w:p>
      <w:pPr>
        <w:pStyle w:val="369"/>
        <w:ind w:firstLine="480"/>
        <w:snapToGrid w:val="1"/>
        <w:spacing w:lineRule="atLeast" w:line="440"/>
        <w:rPr>
          <w:rFonts w:ascii="宋体" w:hAnsi="宋体"/>
          <w:bCs/>
          <w:sz w:val="24"/>
        </w:rPr>
      </w:pPr>
      <w:r>
        <w:rPr>
          <w:rFonts w:ascii="宋体" w:hAnsi="宋体"/>
          <w:bCs/>
          <w:sz w:val="24"/>
        </w:rPr>
        <w:t xml:space="preserve">（10）依据《集合计划合同》及有关法律规定决定</w:t>
      </w:r>
      <w:r>
        <w:rPr>
          <w:rFonts w:ascii="宋体" w:hAnsi="宋体"/>
          <w:bCs/>
          <w:sz w:val="24"/>
        </w:rPr>
        <w:t xml:space="preserve">集合计划</w:t>
      </w:r>
      <w:r>
        <w:rPr>
          <w:rFonts w:ascii="宋体" w:hAnsi="宋体"/>
          <w:bCs/>
          <w:sz w:val="24"/>
        </w:rPr>
        <w:t xml:space="preserve">收益的分配方案；</w:t>
      </w:r>
      <w:r/>
    </w:p>
    <w:p>
      <w:pPr>
        <w:pStyle w:val="369"/>
        <w:ind w:firstLine="480"/>
        <w:snapToGrid w:val="1"/>
        <w:spacing w:lineRule="atLeast" w:line="440"/>
        <w:rPr>
          <w:rFonts w:ascii="宋体" w:hAnsi="宋体"/>
          <w:bCs/>
          <w:sz w:val="24"/>
        </w:rPr>
      </w:pPr>
      <w:r>
        <w:rPr>
          <w:rFonts w:ascii="宋体" w:hAnsi="宋体"/>
          <w:bCs/>
          <w:sz w:val="24"/>
        </w:rPr>
        <w:t xml:space="preserve">（11）在《集合计划合同</w:t>
      </w:r>
      <w:r>
        <w:rPr>
          <w:rFonts w:ascii="宋体" w:hAnsi="宋体"/>
          <w:bCs/>
          <w:sz w:val="24"/>
        </w:rPr>
        <w:t xml:space="preserve">》约定的范围内，拒绝或暂停受理申购、赎回</w:t>
      </w:r>
      <w:r>
        <w:rPr>
          <w:rFonts w:ascii="宋体" w:hAnsi="宋体"/>
          <w:bCs/>
          <w:sz w:val="24"/>
        </w:rPr>
        <w:t xml:space="preserve">与转换</w:t>
      </w:r>
      <w:r>
        <w:rPr>
          <w:rFonts w:ascii="宋体" w:hAnsi="宋体"/>
          <w:bCs/>
          <w:sz w:val="24"/>
        </w:rPr>
        <w:t xml:space="preserve">申请； </w:t>
      </w:r>
      <w:r/>
    </w:p>
    <w:p>
      <w:pPr>
        <w:pStyle w:val="369"/>
        <w:ind w:firstLine="480"/>
        <w:snapToGrid w:val="1"/>
        <w:spacing w:lineRule="atLeast" w:line="440"/>
        <w:rPr>
          <w:rFonts w:ascii="宋体" w:hAnsi="宋体"/>
          <w:bCs/>
          <w:sz w:val="24"/>
        </w:rPr>
      </w:pPr>
      <w:r>
        <w:rPr>
          <w:rFonts w:ascii="宋体" w:hAnsi="宋体"/>
          <w:bCs/>
          <w:sz w:val="24"/>
        </w:rPr>
        <w:t xml:space="preserve">（12）依照法律法规为</w:t>
      </w:r>
      <w:r>
        <w:rPr>
          <w:rFonts w:ascii="宋体" w:hAnsi="宋体"/>
          <w:bCs/>
          <w:sz w:val="24"/>
        </w:rPr>
        <w:t xml:space="preserve">集合计划</w:t>
      </w:r>
      <w:r>
        <w:rPr>
          <w:rFonts w:ascii="宋体" w:hAnsi="宋体"/>
          <w:bCs/>
          <w:sz w:val="24"/>
        </w:rPr>
        <w:t xml:space="preserve">的利益对被投资公司行使股东权利，为</w:t>
      </w:r>
      <w:r>
        <w:rPr>
          <w:rFonts w:ascii="宋体" w:hAnsi="宋体"/>
          <w:bCs/>
          <w:sz w:val="24"/>
        </w:rPr>
        <w:t xml:space="preserve">集合计划</w:t>
      </w:r>
      <w:r>
        <w:rPr>
          <w:rFonts w:ascii="宋体" w:hAnsi="宋体"/>
          <w:bCs/>
          <w:sz w:val="24"/>
        </w:rPr>
        <w:t xml:space="preserve">的利益行使因</w:t>
      </w:r>
      <w:r>
        <w:rPr>
          <w:rFonts w:ascii="宋体" w:hAnsi="宋体"/>
          <w:bCs/>
          <w:sz w:val="24"/>
        </w:rPr>
        <w:t xml:space="preserve">集合计划</w:t>
      </w:r>
      <w:r>
        <w:rPr>
          <w:rFonts w:ascii="宋体" w:hAnsi="宋体"/>
          <w:bCs/>
          <w:sz w:val="24"/>
        </w:rPr>
        <w:t xml:space="preserve">财产投资于证券所产生的权利；</w:t>
        <w:tab/>
      </w:r>
      <w:r/>
    </w:p>
    <w:p>
      <w:pPr>
        <w:pStyle w:val="369"/>
        <w:ind w:firstLine="480"/>
        <w:snapToGrid w:val="1"/>
        <w:spacing w:lineRule="atLeast" w:line="440"/>
        <w:rPr>
          <w:rFonts w:ascii="宋体" w:hAnsi="宋体"/>
          <w:bCs/>
          <w:sz w:val="24"/>
        </w:rPr>
      </w:pPr>
      <w:r>
        <w:rPr>
          <w:rFonts w:ascii="宋体" w:hAnsi="宋体"/>
          <w:bCs/>
          <w:sz w:val="24"/>
        </w:rPr>
        <w:t xml:space="preserve">（13）在法律法规允许的前提下，为</w:t>
      </w:r>
      <w:r>
        <w:rPr>
          <w:rFonts w:ascii="宋体" w:hAnsi="宋体"/>
          <w:bCs/>
          <w:sz w:val="24"/>
        </w:rPr>
        <w:t xml:space="preserve">集合计划</w:t>
      </w:r>
      <w:r>
        <w:rPr>
          <w:rFonts w:ascii="宋体" w:hAnsi="宋体"/>
          <w:bCs/>
          <w:sz w:val="24"/>
        </w:rPr>
        <w:t xml:space="preserve">的利益依法为</w:t>
      </w:r>
      <w:r>
        <w:rPr>
          <w:rFonts w:ascii="宋体" w:hAnsi="宋体"/>
          <w:bCs/>
          <w:sz w:val="24"/>
        </w:rPr>
        <w:t xml:space="preserve">集合计划</w:t>
      </w:r>
      <w:r>
        <w:rPr>
          <w:rFonts w:ascii="宋体" w:hAnsi="宋体"/>
          <w:bCs/>
          <w:sz w:val="24"/>
        </w:rPr>
        <w:t xml:space="preserve">进行融资； </w:t>
      </w:r>
      <w:r/>
    </w:p>
    <w:p>
      <w:pPr>
        <w:pStyle w:val="369"/>
        <w:ind w:firstLine="480"/>
        <w:snapToGrid w:val="1"/>
        <w:spacing w:lineRule="atLeast" w:line="440"/>
        <w:rPr>
          <w:rFonts w:ascii="宋体" w:hAnsi="宋体"/>
          <w:bCs/>
          <w:sz w:val="24"/>
        </w:rPr>
      </w:pPr>
      <w:r>
        <w:rPr>
          <w:rFonts w:ascii="宋体" w:hAnsi="宋体"/>
          <w:bCs/>
          <w:sz w:val="24"/>
        </w:rPr>
        <w:t xml:space="preserve">（14）以管理人的名义，代表</w:t>
      </w:r>
      <w:r>
        <w:rPr>
          <w:rFonts w:ascii="宋体" w:hAnsi="宋体"/>
          <w:bCs/>
          <w:sz w:val="24"/>
        </w:rPr>
        <w:t xml:space="preserve">集合计划</w:t>
      </w:r>
      <w:r>
        <w:rPr>
          <w:rFonts w:ascii="宋体" w:hAnsi="宋体"/>
          <w:bCs/>
          <w:sz w:val="24"/>
        </w:rPr>
        <w:t xml:space="preserve">份额持有人的利益行使诉讼权利或者实施其他法律行为；</w:t>
        <w:tab/>
      </w:r>
      <w:r/>
    </w:p>
    <w:p>
      <w:pPr>
        <w:pStyle w:val="369"/>
        <w:ind w:firstLine="480"/>
        <w:snapToGrid w:val="1"/>
        <w:spacing w:lineRule="atLeast" w:line="440"/>
        <w:rPr>
          <w:rFonts w:ascii="宋体" w:hAnsi="宋体"/>
          <w:bCs/>
          <w:sz w:val="24"/>
        </w:rPr>
      </w:pPr>
      <w:r>
        <w:rPr>
          <w:rFonts w:ascii="宋体" w:hAnsi="宋体"/>
          <w:bCs/>
          <w:sz w:val="24"/>
        </w:rPr>
        <w:t xml:space="preserve">（15）选择、更换律师事务所、会计师事务所、证券经纪商</w:t>
      </w:r>
      <w:r>
        <w:rPr>
          <w:rFonts w:ascii="宋体" w:hAnsi="宋体"/>
          <w:bCs/>
          <w:sz w:val="24"/>
        </w:rPr>
        <w:t xml:space="preserve">、期货经纪机构</w:t>
      </w:r>
      <w:r>
        <w:rPr>
          <w:rFonts w:ascii="宋体" w:hAnsi="宋体"/>
          <w:bCs/>
          <w:sz w:val="24"/>
        </w:rPr>
        <w:t xml:space="preserve">或其他为</w:t>
      </w:r>
      <w:r>
        <w:rPr>
          <w:rFonts w:ascii="宋体" w:hAnsi="宋体"/>
          <w:bCs/>
          <w:sz w:val="24"/>
        </w:rPr>
        <w:t xml:space="preserve">集合计划</w:t>
      </w:r>
      <w:r>
        <w:rPr>
          <w:rFonts w:ascii="宋体" w:hAnsi="宋体"/>
          <w:bCs/>
          <w:sz w:val="24"/>
        </w:rPr>
        <w:t xml:space="preserve">提供服务的外部机构；</w:t>
        <w:tab/>
      </w:r>
      <w:r/>
    </w:p>
    <w:p>
      <w:pPr>
        <w:pStyle w:val="369"/>
        <w:ind w:firstLine="480"/>
        <w:snapToGrid w:val="1"/>
        <w:spacing w:lineRule="atLeast" w:line="440"/>
        <w:rPr>
          <w:rFonts w:ascii="宋体" w:hAnsi="宋体"/>
          <w:bCs/>
          <w:sz w:val="24"/>
        </w:rPr>
      </w:pPr>
      <w:r>
        <w:rPr>
          <w:rFonts w:ascii="宋体" w:hAnsi="宋体"/>
          <w:bCs/>
          <w:sz w:val="24"/>
        </w:rPr>
        <w:t xml:space="preserve">（16）在符合有关法律、法规的前提下，制订和调整有关</w:t>
      </w:r>
      <w:r>
        <w:rPr>
          <w:rFonts w:ascii="宋体" w:hAnsi="宋体"/>
          <w:bCs/>
          <w:sz w:val="24"/>
        </w:rPr>
        <w:t xml:space="preserve">集合计</w:t>
      </w:r>
      <w:r>
        <w:rPr>
          <w:rFonts w:ascii="宋体" w:hAnsi="宋体"/>
          <w:bCs/>
          <w:sz w:val="24"/>
        </w:rPr>
        <w:t xml:space="preserve">划</w:t>
      </w:r>
      <w:r>
        <w:rPr>
          <w:rFonts w:ascii="宋体" w:hAnsi="宋体"/>
          <w:bCs/>
          <w:sz w:val="24"/>
        </w:rPr>
        <w:t xml:space="preserve">申购、赎回、转换和非交易过户的业务规则；</w:t>
      </w:r>
      <w:r/>
    </w:p>
    <w:p>
      <w:pPr>
        <w:pStyle w:val="369"/>
        <w:ind w:firstLine="480"/>
        <w:snapToGrid w:val="1"/>
        <w:spacing w:lineRule="atLeast" w:line="440"/>
        <w:rPr>
          <w:rFonts w:ascii="宋体" w:hAnsi="宋体"/>
          <w:bCs/>
          <w:sz w:val="24"/>
        </w:rPr>
      </w:pPr>
      <w:r>
        <w:rPr>
          <w:rFonts w:ascii="宋体" w:hAnsi="宋体"/>
          <w:bCs/>
          <w:sz w:val="24"/>
        </w:rPr>
        <w:t xml:space="preserve">（17）法律法规及中国证监会规定的和《集合计划合同》约定的其他权利。</w:t>
      </w:r>
      <w:r/>
    </w:p>
    <w:p>
      <w:pPr>
        <w:pStyle w:val="369"/>
        <w:ind w:firstLine="480"/>
        <w:snapToGrid w:val="1"/>
        <w:spacing w:lineRule="atLeast" w:line="440"/>
        <w:rPr>
          <w:rFonts w:ascii="宋体" w:hAnsi="宋体"/>
          <w:bCs/>
          <w:sz w:val="24"/>
        </w:rPr>
      </w:pPr>
      <w:r>
        <w:rPr>
          <w:rFonts w:ascii="宋体" w:hAnsi="宋体"/>
          <w:bCs/>
          <w:sz w:val="24"/>
        </w:rPr>
        <w:t xml:space="preserve">2、根据《基金法》、《运作办法》及其他有关规定，管理人的义务包括但不限于：</w:t>
      </w:r>
      <w:r/>
    </w:p>
    <w:p>
      <w:pPr>
        <w:pStyle w:val="369"/>
        <w:ind w:firstLine="480"/>
        <w:snapToGrid w:val="1"/>
        <w:spacing w:lineRule="atLeast" w:line="440"/>
        <w:rPr>
          <w:rFonts w:ascii="宋体" w:hAnsi="宋体"/>
          <w:bCs/>
          <w:sz w:val="24"/>
        </w:rPr>
      </w:pPr>
      <w:r>
        <w:rPr>
          <w:rFonts w:ascii="宋体" w:hAnsi="宋体"/>
          <w:bCs/>
          <w:sz w:val="24"/>
        </w:rPr>
        <w:t xml:space="preserve">（1）</w:t>
      </w:r>
      <w:r>
        <w:rPr>
          <w:rFonts w:ascii="宋体" w:hAnsi="宋体"/>
          <w:bCs/>
          <w:sz w:val="24"/>
        </w:rPr>
        <w:t xml:space="preserve">依法募集资金，</w:t>
      </w:r>
      <w:r>
        <w:rPr>
          <w:rFonts w:ascii="宋体" w:hAnsi="宋体"/>
          <w:bCs/>
          <w:sz w:val="24"/>
        </w:rPr>
        <w:t xml:space="preserve">办理或者委托经中国证监会认定的其他机构代为办理</w:t>
      </w:r>
      <w:r>
        <w:rPr>
          <w:rFonts w:ascii="宋体" w:hAnsi="宋体"/>
          <w:bCs/>
          <w:sz w:val="24"/>
        </w:rPr>
        <w:t xml:space="preserve">集合计划</w:t>
      </w:r>
      <w:r>
        <w:rPr>
          <w:rFonts w:ascii="宋体" w:hAnsi="宋体"/>
          <w:bCs/>
          <w:sz w:val="24"/>
        </w:rPr>
        <w:t xml:space="preserve">份额的申购、赎回和登记事宜；</w:t>
      </w:r>
      <w:r/>
    </w:p>
    <w:p>
      <w:pPr>
        <w:pStyle w:val="369"/>
        <w:ind w:firstLine="480"/>
        <w:snapToGrid w:val="1"/>
        <w:spacing w:lineRule="atLeast" w:line="440"/>
        <w:rPr>
          <w:rFonts w:ascii="宋体" w:hAnsi="宋体"/>
          <w:bCs/>
          <w:sz w:val="24"/>
        </w:rPr>
      </w:pPr>
      <w:r>
        <w:rPr>
          <w:rFonts w:ascii="宋体" w:hAnsi="宋体"/>
          <w:bCs/>
          <w:sz w:val="24"/>
        </w:rPr>
        <w:t xml:space="preserve">（2）自《集合计划合同》生效之日起</w:t>
      </w:r>
      <w:r>
        <w:rPr>
          <w:rFonts w:ascii="宋体" w:hAnsi="宋体"/>
          <w:bCs/>
          <w:sz w:val="24"/>
        </w:rPr>
        <w:t xml:space="preserve">，</w:t>
      </w:r>
      <w:r>
        <w:rPr>
          <w:rFonts w:ascii="宋体" w:hAnsi="宋体"/>
          <w:bCs/>
          <w:sz w:val="24"/>
        </w:rPr>
        <w:t xml:space="preserve">以诚实信用、谨慎勤勉的原则管理和运用</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tLeast" w:line="440"/>
        <w:rPr>
          <w:rFonts w:ascii="宋体" w:hAnsi="宋体"/>
          <w:bCs/>
          <w:sz w:val="24"/>
        </w:rPr>
      </w:pPr>
      <w:r>
        <w:rPr>
          <w:rFonts w:ascii="宋体" w:hAnsi="宋体"/>
          <w:bCs/>
          <w:sz w:val="24"/>
        </w:rPr>
        <w:t xml:space="preserve">（3）配备足够的具有专业资格的人员进行</w:t>
      </w:r>
      <w:r>
        <w:rPr>
          <w:rFonts w:ascii="宋体" w:hAnsi="宋体"/>
          <w:bCs/>
          <w:sz w:val="24"/>
        </w:rPr>
        <w:t xml:space="preserve">集合计划</w:t>
      </w:r>
      <w:r>
        <w:rPr>
          <w:rFonts w:ascii="宋体" w:hAnsi="宋体"/>
          <w:bCs/>
          <w:sz w:val="24"/>
        </w:rPr>
        <w:t xml:space="preserve">投资分析、决策，以专业化的经营方式管理和运作</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tLeast" w:line="440"/>
        <w:rPr>
          <w:rFonts w:ascii="宋体" w:hAnsi="宋体"/>
          <w:bCs/>
          <w:sz w:val="24"/>
        </w:rPr>
      </w:pPr>
      <w:r>
        <w:rPr>
          <w:rFonts w:ascii="宋体" w:hAnsi="宋体"/>
          <w:bCs/>
          <w:sz w:val="24"/>
        </w:rPr>
        <w:t xml:space="preserve">（4）建立健全内部风险控</w:t>
      </w:r>
      <w:r>
        <w:rPr>
          <w:rFonts w:ascii="宋体" w:hAnsi="宋体"/>
          <w:bCs/>
          <w:sz w:val="24"/>
        </w:rPr>
        <w:t xml:space="preserve">制、监察与稽核、财务管理及人事管理等制度，保证所管理的</w:t>
      </w:r>
      <w:r>
        <w:rPr>
          <w:rFonts w:ascii="宋体" w:hAnsi="宋体"/>
          <w:bCs/>
          <w:sz w:val="24"/>
        </w:rPr>
        <w:t xml:space="preserve">集合计划</w:t>
      </w:r>
      <w:r>
        <w:rPr>
          <w:rFonts w:ascii="宋体" w:hAnsi="宋体"/>
          <w:bCs/>
          <w:sz w:val="24"/>
        </w:rPr>
        <w:t xml:space="preserve">财产和管理人的财产相互独立</w:t>
      </w:r>
      <w:r>
        <w:rPr>
          <w:rFonts w:ascii="宋体" w:hAnsi="宋体"/>
          <w:bCs/>
          <w:sz w:val="24"/>
        </w:rPr>
        <w:t xml:space="preserve">，</w:t>
      </w:r>
      <w:r>
        <w:rPr>
          <w:rFonts w:ascii="宋体" w:hAnsi="宋体"/>
          <w:bCs/>
          <w:sz w:val="24"/>
        </w:rPr>
        <w:t xml:space="preserve">对所管理的不同</w:t>
      </w:r>
      <w:r>
        <w:rPr>
          <w:rFonts w:ascii="宋体" w:hAnsi="宋体"/>
          <w:bCs/>
          <w:sz w:val="24"/>
        </w:rPr>
        <w:t xml:space="preserve">集合计划</w:t>
      </w:r>
      <w:r>
        <w:rPr>
          <w:rFonts w:ascii="宋体" w:hAnsi="宋体"/>
          <w:bCs/>
          <w:sz w:val="24"/>
        </w:rPr>
        <w:t xml:space="preserve">分别管理，分别记账，进行证券投资；</w:t>
      </w:r>
      <w:r/>
    </w:p>
    <w:p>
      <w:pPr>
        <w:pStyle w:val="369"/>
        <w:ind w:firstLine="480"/>
        <w:snapToGrid w:val="1"/>
        <w:spacing w:lineRule="auto" w:line="360"/>
        <w:rPr>
          <w:rFonts w:ascii="宋体" w:hAnsi="宋体"/>
          <w:bCs/>
          <w:sz w:val="24"/>
        </w:rPr>
      </w:pPr>
      <w:r>
        <w:rPr>
          <w:rFonts w:ascii="宋体" w:hAnsi="宋体"/>
          <w:bCs/>
          <w:sz w:val="24"/>
        </w:rPr>
        <w:t xml:space="preserve">（5）除依据《基金法》、《集合计划合同》及其他有关规定外</w:t>
      </w:r>
      <w:r>
        <w:rPr>
          <w:rFonts w:ascii="宋体" w:hAnsi="宋体"/>
          <w:bCs/>
          <w:sz w:val="24"/>
        </w:rPr>
        <w:t xml:space="preserve">，</w:t>
      </w:r>
      <w:r>
        <w:rPr>
          <w:rFonts w:ascii="宋体" w:hAnsi="宋体"/>
          <w:bCs/>
          <w:sz w:val="24"/>
        </w:rPr>
        <w:t xml:space="preserve">不得利用</w:t>
      </w:r>
      <w:r>
        <w:rPr>
          <w:rFonts w:ascii="宋体" w:hAnsi="宋体"/>
          <w:bCs/>
          <w:sz w:val="24"/>
        </w:rPr>
        <w:t xml:space="preserve">集合计划</w:t>
      </w:r>
      <w:r>
        <w:rPr>
          <w:rFonts w:ascii="宋体" w:hAnsi="宋体"/>
          <w:bCs/>
          <w:sz w:val="24"/>
        </w:rPr>
        <w:t xml:space="preserve">财产为自己及任何第三人谋取利益，不得委托第三人运作</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（6）依法接受托管人的监督；</w:t>
      </w:r>
      <w:r/>
    </w:p>
    <w:p>
      <w:pPr>
        <w:pStyle w:val="369"/>
        <w:ind w:firstLine="480"/>
        <w:snapToGrid w:val="1"/>
        <w:spacing w:lineRule="auto" w:line="360"/>
        <w:rPr>
          <w:rFonts w:ascii="宋体" w:hAnsi="宋体"/>
          <w:bCs/>
          <w:sz w:val="24"/>
        </w:rPr>
      </w:pPr>
      <w:r>
        <w:rPr>
          <w:rFonts w:ascii="宋体" w:hAnsi="宋体"/>
          <w:bCs/>
          <w:sz w:val="24"/>
        </w:rPr>
        <w:t xml:space="preserve">（7）采取适当合理的措施使计算</w:t>
      </w:r>
      <w:r>
        <w:rPr>
          <w:rFonts w:ascii="宋体" w:hAnsi="宋体"/>
          <w:bCs/>
          <w:sz w:val="24"/>
        </w:rPr>
        <w:t xml:space="preserve">集合计划</w:t>
      </w:r>
      <w:r>
        <w:rPr>
          <w:rFonts w:ascii="宋体" w:hAnsi="宋体"/>
          <w:bCs/>
          <w:sz w:val="24"/>
        </w:rPr>
        <w:t xml:space="preserve">份额申购、赎回和注销价格的方法符合《集合计划合同》等法律文件的规定，按有关规定计算并公告集合计划净值</w:t>
      </w:r>
      <w:r>
        <w:rPr>
          <w:rFonts w:ascii="宋体" w:hAnsi="宋体"/>
          <w:bCs/>
          <w:sz w:val="24"/>
        </w:rPr>
        <w:t xml:space="preserve">信息</w:t>
      </w:r>
      <w:r>
        <w:rPr>
          <w:rFonts w:ascii="宋体" w:hAnsi="宋体"/>
          <w:bCs/>
          <w:sz w:val="24"/>
        </w:rPr>
        <w:t xml:space="preserve">，确定</w:t>
      </w:r>
      <w:r>
        <w:rPr>
          <w:rFonts w:ascii="宋体" w:hAnsi="宋体"/>
          <w:bCs/>
          <w:sz w:val="24"/>
        </w:rPr>
        <w:t xml:space="preserve">集合计划</w:t>
      </w:r>
      <w:r>
        <w:rPr>
          <w:rFonts w:ascii="宋体" w:hAnsi="宋体"/>
          <w:bCs/>
          <w:sz w:val="24"/>
        </w:rPr>
        <w:t xml:space="preserve">份额申购、赎回的价格；</w:t>
      </w:r>
      <w:r/>
    </w:p>
    <w:p>
      <w:pPr>
        <w:pStyle w:val="369"/>
        <w:ind w:firstLine="480"/>
        <w:snapToGrid w:val="1"/>
        <w:spacing w:lineRule="auto" w:line="360"/>
        <w:rPr>
          <w:rFonts w:ascii="宋体" w:hAnsi="宋体"/>
          <w:bCs/>
          <w:sz w:val="24"/>
        </w:rPr>
      </w:pPr>
      <w:r>
        <w:rPr>
          <w:rFonts w:ascii="宋体" w:hAnsi="宋体"/>
          <w:bCs/>
          <w:sz w:val="24"/>
        </w:rPr>
        <w:t xml:space="preserve">（8）进行</w:t>
      </w:r>
      <w:r>
        <w:rPr>
          <w:rFonts w:ascii="宋体" w:hAnsi="宋体"/>
          <w:bCs/>
          <w:sz w:val="24"/>
        </w:rPr>
        <w:t xml:space="preserve">集合</w:t>
      </w:r>
      <w:r>
        <w:rPr>
          <w:rFonts w:ascii="宋体" w:hAnsi="宋体"/>
          <w:bCs/>
          <w:sz w:val="24"/>
        </w:rPr>
        <w:t xml:space="preserve">计划</w:t>
      </w:r>
      <w:r>
        <w:rPr>
          <w:rFonts w:ascii="宋体" w:hAnsi="宋体"/>
          <w:bCs/>
          <w:sz w:val="24"/>
        </w:rPr>
        <w:t xml:space="preserve">会计核算并编制</w:t>
      </w:r>
      <w:r>
        <w:rPr>
          <w:rFonts w:ascii="宋体" w:hAnsi="宋体"/>
          <w:bCs/>
          <w:sz w:val="24"/>
        </w:rPr>
        <w:t xml:space="preserve">集合计划</w:t>
      </w:r>
      <w:r>
        <w:rPr>
          <w:rFonts w:ascii="宋体" w:hAnsi="宋体"/>
          <w:bCs/>
          <w:sz w:val="24"/>
        </w:rPr>
        <w:t xml:space="preserve">财务会计报告；</w:t>
      </w:r>
      <w:r/>
    </w:p>
    <w:p>
      <w:pPr>
        <w:pStyle w:val="369"/>
        <w:ind w:firstLine="480"/>
        <w:snapToGrid w:val="1"/>
        <w:spacing w:lineRule="auto" w:line="360"/>
        <w:rPr>
          <w:rFonts w:ascii="宋体" w:hAnsi="宋体"/>
          <w:bCs/>
          <w:sz w:val="24"/>
        </w:rPr>
      </w:pPr>
      <w:r>
        <w:rPr>
          <w:rFonts w:ascii="宋体" w:hAnsi="宋体"/>
          <w:bCs/>
          <w:sz w:val="24"/>
        </w:rPr>
        <w:t xml:space="preserve">（9）编制季度</w:t>
      </w:r>
      <w:r>
        <w:rPr>
          <w:rFonts w:ascii="宋体" w:hAnsi="宋体"/>
          <w:bCs/>
          <w:sz w:val="24"/>
        </w:rPr>
        <w:t xml:space="preserve">报告</w:t>
      </w:r>
      <w:r>
        <w:rPr>
          <w:rFonts w:ascii="宋体" w:hAnsi="宋体"/>
          <w:bCs/>
          <w:sz w:val="24"/>
        </w:rPr>
        <w:t xml:space="preserve">、</w:t>
      </w:r>
      <w:r>
        <w:rPr>
          <w:rFonts w:ascii="宋体" w:hAnsi="宋体"/>
          <w:bCs/>
          <w:sz w:val="24"/>
        </w:rPr>
        <w:t xml:space="preserve">中期报告</w:t>
      </w:r>
      <w:r>
        <w:rPr>
          <w:rFonts w:ascii="宋体" w:hAnsi="宋体"/>
          <w:bCs/>
          <w:sz w:val="24"/>
        </w:rPr>
        <w:t xml:space="preserve">和年度报告；</w:t>
      </w:r>
      <w:r/>
    </w:p>
    <w:p>
      <w:pPr>
        <w:pStyle w:val="369"/>
        <w:ind w:firstLine="480"/>
        <w:snapToGrid w:val="1"/>
        <w:spacing w:lineRule="auto" w:line="360"/>
        <w:rPr>
          <w:rFonts w:ascii="宋体" w:hAnsi="宋体"/>
          <w:bCs/>
          <w:sz w:val="24"/>
        </w:rPr>
      </w:pPr>
      <w:r>
        <w:rPr>
          <w:rFonts w:ascii="宋体" w:hAnsi="宋体"/>
          <w:bCs/>
          <w:sz w:val="24"/>
        </w:rPr>
        <w:t xml:space="preserve">（10）严格按照《基金法》、《集合计划合同》及其他有关规定，履行信息披露及报告义务；</w:t>
      </w:r>
      <w:r/>
    </w:p>
    <w:p>
      <w:pPr>
        <w:pStyle w:val="369"/>
        <w:ind w:firstLine="480"/>
        <w:snapToGrid w:val="1"/>
        <w:spacing w:lineRule="auto" w:line="360"/>
        <w:rPr>
          <w:rFonts w:ascii="宋体" w:hAnsi="宋体"/>
          <w:bCs/>
          <w:sz w:val="24"/>
        </w:rPr>
      </w:pPr>
      <w:r>
        <w:rPr>
          <w:rFonts w:ascii="宋体" w:hAnsi="宋体"/>
          <w:bCs/>
          <w:sz w:val="24"/>
        </w:rPr>
        <w:t xml:space="preserve">（11）保守</w:t>
      </w:r>
      <w:r>
        <w:rPr>
          <w:rFonts w:ascii="宋体" w:hAnsi="宋体"/>
          <w:bCs/>
          <w:sz w:val="24"/>
        </w:rPr>
        <w:t xml:space="preserve">集合计划</w:t>
      </w:r>
      <w:r>
        <w:rPr>
          <w:rFonts w:ascii="宋体" w:hAnsi="宋体"/>
          <w:bCs/>
          <w:sz w:val="24"/>
        </w:rPr>
        <w:t xml:space="preserve">商业秘密，不泄露</w:t>
      </w:r>
      <w:r>
        <w:rPr>
          <w:rFonts w:ascii="宋体" w:hAnsi="宋体"/>
          <w:bCs/>
          <w:sz w:val="24"/>
        </w:rPr>
        <w:t xml:space="preserve">集合计划</w:t>
      </w:r>
      <w:r>
        <w:rPr>
          <w:rFonts w:ascii="宋体" w:hAnsi="宋体"/>
          <w:bCs/>
          <w:sz w:val="24"/>
        </w:rPr>
        <w:t xml:space="preserve">投资计划、投资意向等。除《基金法》、《集合计划合同》及其他有关规定另有规定外，在</w:t>
      </w:r>
      <w:r>
        <w:rPr>
          <w:rFonts w:ascii="宋体" w:hAnsi="宋体"/>
          <w:bCs/>
          <w:sz w:val="24"/>
        </w:rPr>
        <w:t xml:space="preserve">集合计划</w:t>
      </w:r>
      <w:r>
        <w:rPr>
          <w:rFonts w:ascii="宋体" w:hAnsi="宋体"/>
          <w:bCs/>
          <w:sz w:val="24"/>
        </w:rPr>
        <w:t xml:space="preserve">信息公开披露前应予保密，不向他人泄露；</w:t>
      </w:r>
      <w:r/>
    </w:p>
    <w:p>
      <w:pPr>
        <w:pStyle w:val="369"/>
        <w:ind w:firstLine="480"/>
        <w:snapToGrid w:val="1"/>
        <w:spacing w:lineRule="auto" w:line="360"/>
        <w:rPr>
          <w:rFonts w:ascii="宋体" w:hAnsi="宋体"/>
          <w:bCs/>
          <w:sz w:val="24"/>
        </w:rPr>
      </w:pPr>
      <w:r>
        <w:rPr>
          <w:rFonts w:ascii="宋体" w:hAnsi="宋体"/>
          <w:bCs/>
          <w:sz w:val="24"/>
        </w:rPr>
        <w:t xml:space="preserve">（12）按《集合计划合同》的约定确定</w:t>
      </w:r>
      <w:r>
        <w:rPr>
          <w:rFonts w:ascii="宋体" w:hAnsi="宋体"/>
          <w:bCs/>
          <w:sz w:val="24"/>
        </w:rPr>
        <w:t xml:space="preserve">集合计划</w:t>
      </w:r>
      <w:r>
        <w:rPr>
          <w:rFonts w:ascii="宋体" w:hAnsi="宋体"/>
          <w:bCs/>
          <w:sz w:val="24"/>
        </w:rPr>
        <w:t xml:space="preserve">收益分配方案，及时向集合计划份额持有人分配</w:t>
      </w:r>
      <w:r>
        <w:rPr>
          <w:rFonts w:ascii="宋体" w:hAnsi="宋体"/>
          <w:bCs/>
          <w:sz w:val="24"/>
        </w:rPr>
        <w:t xml:space="preserve">集合计划</w:t>
      </w:r>
      <w:r>
        <w:rPr>
          <w:rFonts w:ascii="宋体" w:hAnsi="宋体"/>
          <w:bCs/>
          <w:sz w:val="24"/>
        </w:rPr>
        <w:t xml:space="preserve">收益；</w:t>
      </w:r>
      <w:r/>
    </w:p>
    <w:p>
      <w:pPr>
        <w:pStyle w:val="369"/>
        <w:ind w:firstLine="480"/>
        <w:snapToGrid w:val="1"/>
        <w:spacing w:lineRule="auto" w:line="360"/>
        <w:rPr>
          <w:rFonts w:ascii="宋体" w:hAnsi="宋体"/>
          <w:bCs/>
          <w:sz w:val="24"/>
        </w:rPr>
      </w:pPr>
      <w:r>
        <w:rPr>
          <w:rFonts w:ascii="宋体" w:hAnsi="宋体"/>
          <w:bCs/>
          <w:sz w:val="24"/>
        </w:rPr>
        <w:t xml:space="preserve">（13）按规定受理申购与赎回申请，及时、足额支付赎回款项；</w:t>
      </w:r>
      <w:r/>
    </w:p>
    <w:p>
      <w:pPr>
        <w:pStyle w:val="369"/>
        <w:ind w:firstLine="480"/>
        <w:snapToGrid w:val="1"/>
        <w:spacing w:lineRule="auto" w:line="360"/>
        <w:rPr>
          <w:rFonts w:ascii="宋体" w:hAnsi="宋体"/>
          <w:bCs/>
          <w:sz w:val="24"/>
        </w:rPr>
      </w:pPr>
      <w:r>
        <w:rPr>
          <w:rFonts w:ascii="宋体" w:hAnsi="宋体"/>
          <w:bCs/>
          <w:sz w:val="24"/>
        </w:rPr>
        <w:t xml:space="preserve">（14）</w:t>
      </w:r>
      <w:r>
        <w:rPr>
          <w:rFonts w:ascii="宋体" w:hAnsi="宋体"/>
          <w:bCs/>
          <w:sz w:val="24"/>
        </w:rPr>
        <w:t xml:space="preserve">依据《基金法》、《集合计划合同》及其他有关规定召集集合计划份额持有人大会或配合托管人、集合计划份额持有人依法召集集合计划份额持有人大会；</w:t>
      </w:r>
      <w:r/>
    </w:p>
    <w:p>
      <w:pPr>
        <w:pStyle w:val="369"/>
        <w:ind w:firstLine="480"/>
        <w:snapToGrid w:val="1"/>
        <w:spacing w:lineRule="auto" w:line="360"/>
        <w:rPr>
          <w:rFonts w:ascii="宋体" w:hAnsi="宋体"/>
          <w:bCs/>
          <w:sz w:val="24"/>
        </w:rPr>
      </w:pPr>
      <w:r>
        <w:rPr>
          <w:rFonts w:ascii="宋体" w:hAnsi="宋体"/>
          <w:bCs/>
          <w:sz w:val="24"/>
        </w:rPr>
        <w:t xml:space="preserve">（15）按规定保存</w:t>
      </w:r>
      <w:r>
        <w:rPr>
          <w:rFonts w:ascii="宋体" w:hAnsi="宋体"/>
          <w:bCs/>
          <w:sz w:val="24"/>
        </w:rPr>
        <w:t xml:space="preserve">集合计划</w:t>
      </w:r>
      <w:r>
        <w:rPr>
          <w:rFonts w:ascii="宋体" w:hAnsi="宋体"/>
          <w:bCs/>
          <w:sz w:val="24"/>
        </w:rPr>
        <w:t xml:space="preserve">财产管理业务活动的会计账册、报表、记录和其他相关资料</w:t>
      </w:r>
      <w:r>
        <w:rPr>
          <w:rFonts w:ascii="宋体" w:hAnsi="宋体"/>
          <w:sz w:val="24"/>
        </w:rPr>
        <w:t xml:space="preserve">不低于法律法规规定的最低期限</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（16）确保需要向</w:t>
      </w:r>
      <w:r>
        <w:rPr>
          <w:rFonts w:ascii="宋体" w:hAnsi="宋体"/>
          <w:bCs/>
          <w:sz w:val="24"/>
        </w:rPr>
        <w:t xml:space="preserve">集合计划</w:t>
      </w:r>
      <w:r>
        <w:rPr>
          <w:rFonts w:ascii="宋体" w:hAnsi="宋体"/>
          <w:bCs/>
          <w:sz w:val="24"/>
        </w:rPr>
        <w:t xml:space="preserve">投资者提供的各项文件或资料在规定时间发出，并且保证投资者能够按照《集合计划合同》规定的时间和方式，随时查阅到与</w:t>
      </w:r>
      <w:r>
        <w:rPr>
          <w:rFonts w:ascii="宋体" w:hAnsi="宋体"/>
          <w:bCs/>
          <w:sz w:val="24"/>
        </w:rPr>
        <w:t xml:space="preserve">集合计划</w:t>
      </w:r>
      <w:r>
        <w:rPr>
          <w:rFonts w:ascii="宋体" w:hAnsi="宋体"/>
          <w:bCs/>
          <w:sz w:val="24"/>
        </w:rPr>
        <w:t xml:space="preserve">有关的公开资料，并在支付合理成本的条件下得到有关资料的复印件；</w:t>
      </w:r>
      <w:r/>
    </w:p>
    <w:p>
      <w:pPr>
        <w:pStyle w:val="369"/>
        <w:ind w:firstLine="480"/>
        <w:snapToGrid w:val="1"/>
        <w:spacing w:lineRule="auto" w:line="360"/>
        <w:rPr>
          <w:rFonts w:ascii="宋体" w:hAnsi="宋体"/>
          <w:bCs/>
          <w:sz w:val="24"/>
        </w:rPr>
      </w:pPr>
      <w:r>
        <w:rPr>
          <w:rFonts w:ascii="宋体" w:hAnsi="宋体"/>
          <w:bCs/>
          <w:sz w:val="24"/>
        </w:rPr>
        <w:t xml:space="preserve">（17）组织并参加</w:t>
      </w:r>
      <w:r>
        <w:rPr>
          <w:rFonts w:ascii="宋体" w:hAnsi="宋体"/>
          <w:bCs/>
          <w:sz w:val="24"/>
        </w:rPr>
        <w:t xml:space="preserve">集合计划</w:t>
      </w:r>
      <w:r>
        <w:rPr>
          <w:rFonts w:ascii="宋体" w:hAnsi="宋体"/>
          <w:bCs/>
          <w:sz w:val="24"/>
        </w:rPr>
        <w:t xml:space="preserve">财产清算小组</w:t>
      </w:r>
      <w:r>
        <w:rPr>
          <w:rFonts w:ascii="宋体" w:hAnsi="宋体"/>
          <w:bCs/>
          <w:sz w:val="24"/>
        </w:rPr>
        <w:t xml:space="preserve">，</w:t>
      </w:r>
      <w:r>
        <w:rPr>
          <w:rFonts w:ascii="宋体" w:hAnsi="宋体"/>
          <w:bCs/>
          <w:sz w:val="24"/>
        </w:rPr>
        <w:t xml:space="preserve">参与</w:t>
      </w:r>
      <w:r>
        <w:rPr>
          <w:rFonts w:ascii="宋体" w:hAnsi="宋体"/>
          <w:bCs/>
          <w:sz w:val="24"/>
        </w:rPr>
        <w:t xml:space="preserve">集合计划</w:t>
      </w:r>
      <w:r>
        <w:rPr>
          <w:rFonts w:ascii="宋体" w:hAnsi="宋体"/>
          <w:bCs/>
          <w:sz w:val="24"/>
        </w:rPr>
        <w:t xml:space="preserve">财产</w:t>
      </w:r>
      <w:r>
        <w:rPr>
          <w:rFonts w:ascii="宋体" w:hAnsi="宋体"/>
          <w:bCs/>
          <w:sz w:val="24"/>
        </w:rPr>
        <w:t xml:space="preserve">的保管、清理、估价、变现和分配；</w:t>
      </w:r>
      <w:r/>
    </w:p>
    <w:p>
      <w:pPr>
        <w:pStyle w:val="369"/>
        <w:ind w:firstLine="480"/>
        <w:snapToGrid w:val="1"/>
        <w:spacing w:lineRule="auto" w:line="360"/>
        <w:rPr>
          <w:rFonts w:ascii="宋体" w:hAnsi="宋体"/>
          <w:bCs/>
          <w:sz w:val="24"/>
        </w:rPr>
      </w:pPr>
      <w:r>
        <w:rPr>
          <w:rFonts w:ascii="宋体" w:hAnsi="宋体"/>
          <w:bCs/>
          <w:sz w:val="24"/>
        </w:rPr>
        <w:t xml:space="preserve">（18）面临解散、依法被撤销或者被依法宣告破产时，及时报告中国证监会并通知托管人；</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w:t>
      </w:r>
      <w:r>
        <w:rPr>
          <w:rFonts w:ascii="宋体" w:hAnsi="宋体"/>
          <w:bCs/>
          <w:sz w:val="24"/>
        </w:rPr>
        <w:t xml:space="preserve">9）因违反《集合计划合同》导致</w:t>
      </w:r>
      <w:r>
        <w:rPr>
          <w:rFonts w:ascii="宋体" w:hAnsi="宋体"/>
          <w:bCs/>
          <w:sz w:val="24"/>
        </w:rPr>
        <w:t xml:space="preserve">集合计划</w:t>
      </w:r>
      <w:r>
        <w:rPr>
          <w:rFonts w:ascii="宋体" w:hAnsi="宋体"/>
          <w:bCs/>
          <w:sz w:val="24"/>
        </w:rPr>
        <w:t xml:space="preserve">财产的损失或损害集合计划份额持有人合法权益时，应当承担赔偿责任，其赔偿责任不因其退任而免除；</w:t>
      </w:r>
      <w:r/>
    </w:p>
    <w:p>
      <w:pPr>
        <w:pStyle w:val="369"/>
        <w:ind w:firstLine="480"/>
        <w:snapToGrid w:val="1"/>
        <w:spacing w:lineRule="auto" w:line="360"/>
        <w:rPr>
          <w:rFonts w:ascii="宋体" w:hAnsi="宋体"/>
          <w:bCs/>
          <w:sz w:val="24"/>
        </w:rPr>
      </w:pPr>
      <w:r>
        <w:rPr>
          <w:rFonts w:ascii="宋体" w:hAnsi="宋体"/>
          <w:bCs/>
          <w:sz w:val="24"/>
        </w:rPr>
        <w:t xml:space="preserve">（20）监督托管人按法律法规和《集合计划合同》规定履行自己的义务，托管人违反《集合计划合同》造成</w:t>
      </w:r>
      <w:r>
        <w:rPr>
          <w:rFonts w:ascii="宋体" w:hAnsi="宋体"/>
          <w:bCs/>
          <w:sz w:val="24"/>
        </w:rPr>
        <w:t xml:space="preserve">集合计划</w:t>
      </w:r>
      <w:r>
        <w:rPr>
          <w:rFonts w:ascii="宋体" w:hAnsi="宋体"/>
          <w:bCs/>
          <w:sz w:val="24"/>
        </w:rPr>
        <w:t xml:space="preserve">财产损失时，管理人应为集合计划份额持有人利益向托管人追偿；</w:t>
      </w:r>
      <w:r/>
    </w:p>
    <w:p>
      <w:pPr>
        <w:pStyle w:val="369"/>
        <w:ind w:firstLine="480"/>
        <w:snapToGrid w:val="1"/>
        <w:spacing w:lineRule="auto" w:line="360"/>
        <w:rPr>
          <w:rFonts w:ascii="宋体" w:hAnsi="宋体"/>
          <w:bCs/>
          <w:sz w:val="24"/>
        </w:rPr>
      </w:pPr>
      <w:r>
        <w:rPr>
          <w:rFonts w:ascii="宋体" w:hAnsi="宋体"/>
          <w:bCs/>
          <w:sz w:val="24"/>
        </w:rPr>
        <w:t xml:space="preserve">（21）当管理人将其义务委托第三方处理时，应当对第三方处理有关</w:t>
      </w:r>
      <w:r>
        <w:rPr>
          <w:rFonts w:ascii="宋体" w:hAnsi="宋体"/>
          <w:bCs/>
          <w:sz w:val="24"/>
        </w:rPr>
        <w:t xml:space="preserve">集合计划</w:t>
      </w:r>
      <w:r>
        <w:rPr>
          <w:rFonts w:ascii="宋体" w:hAnsi="宋体"/>
          <w:bCs/>
          <w:sz w:val="24"/>
        </w:rPr>
        <w:t xml:space="preserve">事务的行为承担责任；</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22）以管理人名义，代表集合计划份额持有人利益行使诉讼权利或实施其他法律行为；</w:t>
      </w:r>
      <w:r/>
    </w:p>
    <w:p>
      <w:pPr>
        <w:pStyle w:val="369"/>
        <w:ind w:firstLine="480"/>
        <w:snapToGrid w:val="1"/>
        <w:spacing w:lineRule="auto" w:line="360"/>
        <w:rPr>
          <w:rFonts w:ascii="宋体" w:hAnsi="宋体"/>
          <w:bCs/>
          <w:sz w:val="24"/>
        </w:rPr>
      </w:pPr>
      <w:r>
        <w:rPr>
          <w:rFonts w:ascii="宋体" w:hAnsi="宋体"/>
          <w:bCs/>
          <w:sz w:val="24"/>
        </w:rPr>
        <w:t xml:space="preserve">（23）执行生效的集合计划份额持有人大会的</w:t>
      </w:r>
      <w:r>
        <w:rPr>
          <w:rFonts w:ascii="宋体" w:hAnsi="宋体"/>
          <w:bCs/>
          <w:sz w:val="24"/>
        </w:rPr>
        <w:t xml:space="preserve">决议</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（24）建立并保存集合计划份额持有人名册；</w:t>
      </w:r>
      <w:r/>
    </w:p>
    <w:p>
      <w:pPr>
        <w:pStyle w:val="369"/>
        <w:ind w:firstLine="480"/>
        <w:snapToGrid w:val="1"/>
        <w:spacing w:lineRule="auto" w:line="360"/>
        <w:rPr>
          <w:rFonts w:ascii="宋体" w:hAnsi="宋体"/>
          <w:bCs/>
          <w:sz w:val="24"/>
        </w:rPr>
      </w:pPr>
      <w:r>
        <w:rPr>
          <w:rFonts w:ascii="宋体" w:hAnsi="宋体"/>
          <w:bCs/>
          <w:sz w:val="24"/>
        </w:rPr>
        <w:t xml:space="preserve">（25）法律法规及中国证监会规定的和《集合计划合同》约定的其他义务。</w:t>
      </w:r>
      <w:r/>
    </w:p>
    <w:p>
      <w:pPr>
        <w:pStyle w:val="369"/>
        <w:ind w:firstLine="480"/>
        <w:snapToGrid w:val="1"/>
        <w:spacing w:lineRule="auto" w:line="360"/>
        <w:rPr>
          <w:rFonts w:ascii="宋体" w:hAnsi="宋体"/>
          <w:bCs/>
          <w:sz w:val="24"/>
        </w:rPr>
      </w:pPr>
      <w:r>
        <w:rPr>
          <w:rFonts w:ascii="宋体" w:hAnsi="宋体"/>
          <w:bCs/>
          <w:sz w:val="24"/>
        </w:rPr>
        <w:t xml:space="preserve">（二）</w:t>
        <w:tab/>
        <w:t xml:space="preserve">托管人的权利与义务</w:t>
      </w:r>
      <w:r/>
    </w:p>
    <w:p>
      <w:pPr>
        <w:pStyle w:val="369"/>
        <w:ind w:firstLine="480"/>
        <w:snapToGrid w:val="1"/>
        <w:spacing w:lineRule="auto" w:line="360"/>
        <w:rPr>
          <w:rFonts w:ascii="宋体" w:hAnsi="宋体"/>
          <w:bCs/>
          <w:sz w:val="24"/>
        </w:rPr>
      </w:pPr>
      <w:r>
        <w:rPr>
          <w:rFonts w:ascii="宋体" w:hAnsi="宋体"/>
          <w:bCs/>
          <w:sz w:val="24"/>
        </w:rPr>
        <w:t xml:space="preserve">1、根据《基金法》、《运作办法》及其他有关规定，托管人的权利包括但不限于：</w:t>
      </w:r>
      <w:r/>
    </w:p>
    <w:p>
      <w:pPr>
        <w:pStyle w:val="369"/>
        <w:ind w:firstLine="480"/>
        <w:snapToGrid w:val="1"/>
        <w:spacing w:lineRule="auto" w:line="360"/>
        <w:rPr>
          <w:rFonts w:ascii="宋体" w:hAnsi="宋体"/>
          <w:bCs/>
          <w:sz w:val="24"/>
        </w:rPr>
      </w:pPr>
      <w:r>
        <w:rPr>
          <w:rFonts w:ascii="宋体" w:hAnsi="宋体"/>
          <w:bCs/>
          <w:sz w:val="24"/>
        </w:rPr>
        <w:t xml:space="preserve">（1）自《集合计划合同》生效之日起，依法律法规和《集合计划合同》的规定安全保管</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（2）依《集合计划合同》约定获得</w:t>
      </w:r>
      <w:r>
        <w:rPr>
          <w:rFonts w:ascii="宋体" w:hAnsi="宋体"/>
          <w:bCs/>
          <w:sz w:val="24"/>
        </w:rPr>
        <w:t xml:space="preserve">集合计划</w:t>
      </w:r>
      <w:r>
        <w:rPr>
          <w:rFonts w:ascii="宋体" w:hAnsi="宋体"/>
          <w:bCs/>
          <w:sz w:val="24"/>
        </w:rPr>
        <w:t xml:space="preserve">托管费以及法律法规规定或监管部</w:t>
      </w:r>
      <w:r>
        <w:rPr>
          <w:rFonts w:ascii="宋体" w:hAnsi="宋体"/>
          <w:bCs/>
          <w:sz w:val="24"/>
        </w:rPr>
        <w:t xml:space="preserve">门批准的其他费用；</w:t>
      </w:r>
      <w:r/>
    </w:p>
    <w:p>
      <w:pPr>
        <w:pStyle w:val="369"/>
        <w:ind w:firstLine="480"/>
        <w:snapToGrid w:val="1"/>
        <w:spacing w:lineRule="auto" w:line="360"/>
        <w:rPr>
          <w:rFonts w:ascii="宋体" w:hAnsi="宋体"/>
          <w:bCs/>
          <w:sz w:val="24"/>
        </w:rPr>
      </w:pPr>
      <w:r>
        <w:rPr>
          <w:rFonts w:ascii="宋体" w:hAnsi="宋体"/>
          <w:bCs/>
          <w:sz w:val="24"/>
        </w:rPr>
        <w:t xml:space="preserve">（3）监督管理人对本集合计划的投资运作，如发现管理人有违反《集合计划合同》及国家法律法规行为，对</w:t>
      </w:r>
      <w:r>
        <w:rPr>
          <w:rFonts w:ascii="宋体" w:hAnsi="宋体"/>
          <w:bCs/>
          <w:sz w:val="24"/>
        </w:rPr>
        <w:t xml:space="preserve">集合计划</w:t>
      </w:r>
      <w:r>
        <w:rPr>
          <w:rFonts w:ascii="宋体" w:hAnsi="宋体"/>
          <w:bCs/>
          <w:sz w:val="24"/>
        </w:rPr>
        <w:t xml:space="preserve">财产、其他当事人的利益造成重大损失的情形，应呈报中国证监会，并采取必要措施保护</w:t>
      </w:r>
      <w:r>
        <w:rPr>
          <w:rFonts w:ascii="宋体" w:hAnsi="宋体"/>
          <w:bCs/>
          <w:sz w:val="24"/>
        </w:rPr>
        <w:t xml:space="preserve">集合计划</w:t>
      </w:r>
      <w:r>
        <w:rPr>
          <w:rFonts w:ascii="宋体" w:hAnsi="宋体"/>
          <w:bCs/>
          <w:sz w:val="24"/>
        </w:rPr>
        <w:t xml:space="preserve">投资者的利益；</w:t>
      </w:r>
      <w:r/>
    </w:p>
    <w:p>
      <w:pPr>
        <w:pStyle w:val="369"/>
        <w:ind w:firstLine="480"/>
        <w:snapToGrid w:val="1"/>
        <w:spacing w:lineRule="auto" w:line="360"/>
        <w:rPr>
          <w:rFonts w:ascii="宋体" w:hAnsi="宋体"/>
          <w:bCs/>
          <w:sz w:val="24"/>
        </w:rPr>
      </w:pPr>
      <w:r>
        <w:rPr>
          <w:rFonts w:ascii="宋体" w:hAnsi="宋体"/>
          <w:bCs/>
          <w:sz w:val="24"/>
        </w:rPr>
        <w:t xml:space="preserve">（4）根据相关市场规则，为</w:t>
      </w:r>
      <w:r>
        <w:rPr>
          <w:rFonts w:ascii="宋体" w:hAnsi="宋体"/>
          <w:bCs/>
          <w:sz w:val="24"/>
        </w:rPr>
        <w:t xml:space="preserve">集合计划</w:t>
      </w:r>
      <w:r>
        <w:rPr>
          <w:rFonts w:ascii="宋体" w:hAnsi="宋体"/>
          <w:bCs/>
          <w:sz w:val="24"/>
        </w:rPr>
        <w:t xml:space="preserve">开设</w:t>
      </w:r>
      <w:r>
        <w:rPr>
          <w:rFonts w:ascii="宋体" w:hAnsi="宋体"/>
          <w:bCs/>
          <w:sz w:val="24"/>
        </w:rPr>
        <w:t xml:space="preserve">资金账户、</w:t>
      </w:r>
      <w:r>
        <w:rPr>
          <w:rFonts w:ascii="宋体" w:hAnsi="宋体"/>
          <w:bCs/>
          <w:sz w:val="24"/>
        </w:rPr>
        <w:t xml:space="preserve">证券</w:t>
      </w:r>
      <w:r>
        <w:rPr>
          <w:rFonts w:ascii="宋体" w:hAnsi="宋体"/>
          <w:bCs/>
          <w:sz w:val="24"/>
        </w:rPr>
        <w:t xml:space="preserve">账户等投资所需账户</w:t>
      </w:r>
      <w:r>
        <w:rPr>
          <w:rFonts w:ascii="宋体" w:hAnsi="宋体"/>
          <w:bCs/>
          <w:sz w:val="24"/>
        </w:rPr>
        <w:t xml:space="preserve">、为</w:t>
      </w:r>
      <w:r>
        <w:rPr>
          <w:rFonts w:ascii="宋体" w:hAnsi="宋体"/>
          <w:bCs/>
          <w:sz w:val="24"/>
        </w:rPr>
        <w:t xml:space="preserve">集合计划</w:t>
      </w:r>
      <w:r>
        <w:rPr>
          <w:rFonts w:ascii="宋体" w:hAnsi="宋体"/>
          <w:bCs/>
          <w:sz w:val="24"/>
        </w:rPr>
        <w:t xml:space="preserve">办理证券</w:t>
      </w:r>
      <w:r>
        <w:rPr>
          <w:rFonts w:ascii="宋体" w:hAnsi="宋体"/>
          <w:bCs/>
          <w:sz w:val="24"/>
        </w:rPr>
        <w:t xml:space="preserve">、期货</w:t>
      </w:r>
      <w:r>
        <w:rPr>
          <w:rFonts w:ascii="宋体" w:hAnsi="宋体"/>
          <w:bCs/>
          <w:sz w:val="24"/>
        </w:rPr>
        <w:t xml:space="preserve">交易资金清算；</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（5）提议召开或召集集合计划份额持有人大会；</w:t>
      </w:r>
      <w:r/>
    </w:p>
    <w:p>
      <w:pPr>
        <w:pStyle w:val="369"/>
        <w:ind w:firstLine="480"/>
        <w:snapToGrid w:val="1"/>
        <w:spacing w:lineRule="auto" w:line="360"/>
        <w:rPr>
          <w:rFonts w:ascii="宋体" w:hAnsi="宋体"/>
          <w:bCs/>
          <w:sz w:val="24"/>
        </w:rPr>
      </w:pPr>
      <w:r>
        <w:rPr>
          <w:rFonts w:ascii="宋体" w:hAnsi="宋体"/>
          <w:bCs/>
          <w:sz w:val="24"/>
        </w:rPr>
        <w:t xml:space="preserve">（6）在管理人更换时，提名新的管理人；</w:t>
      </w:r>
      <w:r/>
    </w:p>
    <w:p>
      <w:pPr>
        <w:pStyle w:val="369"/>
        <w:ind w:firstLine="480"/>
        <w:snapToGrid w:val="1"/>
        <w:spacing w:lineRule="auto" w:line="360"/>
        <w:rPr>
          <w:rFonts w:ascii="宋体" w:hAnsi="宋体"/>
          <w:bCs/>
          <w:sz w:val="24"/>
        </w:rPr>
      </w:pPr>
      <w:r>
        <w:rPr>
          <w:rFonts w:ascii="宋体" w:hAnsi="宋体"/>
          <w:bCs/>
          <w:sz w:val="24"/>
        </w:rPr>
        <w:t xml:space="preserve">（7）法律法规及中国证监会规定的和《集合计划合同》约定的其他权利。</w:t>
      </w:r>
      <w:r/>
    </w:p>
    <w:p>
      <w:pPr>
        <w:pStyle w:val="369"/>
        <w:ind w:firstLine="480"/>
        <w:snapToGrid w:val="1"/>
        <w:spacing w:lineRule="auto" w:line="360"/>
        <w:rPr>
          <w:rFonts w:ascii="宋体" w:hAnsi="宋体"/>
          <w:bCs/>
          <w:sz w:val="24"/>
        </w:rPr>
      </w:pPr>
      <w:r>
        <w:rPr>
          <w:rFonts w:ascii="宋体" w:hAnsi="宋体"/>
          <w:bCs/>
          <w:sz w:val="24"/>
        </w:rPr>
        <w:t xml:space="preserve">2、根据《基金法》、</w:t>
      </w:r>
      <w:r>
        <w:rPr>
          <w:rFonts w:ascii="宋体" w:hAnsi="宋体"/>
          <w:bCs/>
          <w:sz w:val="24"/>
        </w:rPr>
        <w:t xml:space="preserve">《运作办法》及其他有关规定，托管人的义务包括但不限于：</w:t>
      </w:r>
      <w:r/>
    </w:p>
    <w:p>
      <w:pPr>
        <w:pStyle w:val="369"/>
        <w:ind w:firstLine="480"/>
        <w:snapToGrid w:val="1"/>
        <w:spacing w:lineRule="auto" w:line="360"/>
        <w:rPr>
          <w:rFonts w:ascii="宋体" w:hAnsi="宋体"/>
          <w:bCs/>
          <w:sz w:val="24"/>
        </w:rPr>
      </w:pPr>
      <w:r>
        <w:rPr>
          <w:rFonts w:ascii="宋体" w:hAnsi="宋体"/>
          <w:bCs/>
          <w:sz w:val="24"/>
        </w:rPr>
        <w:t xml:space="preserve">（1）以诚实信用、勤勉尽责的原则持有并安全保管</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（2）设立专门的托管部门，具有符合要求的营业场所，配备足够的、合格的熟悉托管业务的专职人员，负责</w:t>
      </w:r>
      <w:r>
        <w:rPr>
          <w:rFonts w:ascii="宋体" w:hAnsi="宋体"/>
          <w:bCs/>
          <w:sz w:val="24"/>
        </w:rPr>
        <w:t xml:space="preserve">集合计划</w:t>
      </w:r>
      <w:r>
        <w:rPr>
          <w:rFonts w:ascii="宋体" w:hAnsi="宋体"/>
          <w:bCs/>
          <w:sz w:val="24"/>
        </w:rPr>
        <w:t xml:space="preserve">财产托管事宜；</w:t>
      </w:r>
      <w:r/>
    </w:p>
    <w:p>
      <w:pPr>
        <w:pStyle w:val="369"/>
        <w:ind w:firstLine="480"/>
        <w:snapToGrid w:val="1"/>
        <w:spacing w:lineRule="auto" w:line="360"/>
        <w:rPr>
          <w:rFonts w:ascii="宋体" w:hAnsi="宋体"/>
          <w:bCs/>
          <w:sz w:val="24"/>
        </w:rPr>
      </w:pPr>
      <w:r>
        <w:rPr>
          <w:rFonts w:ascii="宋体" w:hAnsi="宋体"/>
          <w:bCs/>
          <w:sz w:val="24"/>
        </w:rPr>
        <w:t xml:space="preserve">（3）建立健全内部风险控制、监察与稽核、财务管理及人事管理等制度，确保</w:t>
      </w:r>
      <w:r>
        <w:rPr>
          <w:rFonts w:ascii="宋体" w:hAnsi="宋体"/>
          <w:bCs/>
          <w:sz w:val="24"/>
        </w:rPr>
        <w:t xml:space="preserve">集合计划</w:t>
      </w:r>
      <w:r>
        <w:rPr>
          <w:rFonts w:ascii="宋体" w:hAnsi="宋体"/>
          <w:bCs/>
          <w:sz w:val="24"/>
        </w:rPr>
        <w:t xml:space="preserve">财产的安全，保证其托管的</w:t>
      </w:r>
      <w:r>
        <w:rPr>
          <w:rFonts w:ascii="宋体" w:hAnsi="宋体"/>
          <w:bCs/>
          <w:sz w:val="24"/>
        </w:rPr>
        <w:t xml:space="preserve">集合计划</w:t>
      </w:r>
      <w:r>
        <w:rPr>
          <w:rFonts w:ascii="宋体" w:hAnsi="宋体"/>
          <w:bCs/>
          <w:sz w:val="24"/>
        </w:rPr>
        <w:t xml:space="preserve">财产与托管人自有财产以及不同的</w:t>
      </w:r>
      <w:r>
        <w:rPr>
          <w:rFonts w:ascii="宋体" w:hAnsi="宋体"/>
          <w:bCs/>
          <w:sz w:val="24"/>
        </w:rPr>
        <w:t xml:space="preserve">集合计划</w:t>
      </w:r>
      <w:r>
        <w:rPr>
          <w:rFonts w:ascii="宋体" w:hAnsi="宋体"/>
          <w:bCs/>
          <w:sz w:val="24"/>
        </w:rPr>
        <w:t xml:space="preserve">财产相互独立；对所托管的不同的</w:t>
      </w:r>
      <w:r>
        <w:rPr>
          <w:rFonts w:ascii="宋体" w:hAnsi="宋体"/>
          <w:bCs/>
          <w:sz w:val="24"/>
        </w:rPr>
        <w:t xml:space="preserve">集合计划</w:t>
      </w:r>
      <w:r>
        <w:rPr>
          <w:rFonts w:ascii="宋体" w:hAnsi="宋体"/>
          <w:bCs/>
          <w:sz w:val="24"/>
        </w:rPr>
        <w:t xml:space="preserve">分别设置账户，独立核算，分账管理，保证不同</w:t>
      </w:r>
      <w:r>
        <w:rPr>
          <w:rFonts w:ascii="宋体" w:hAnsi="宋体"/>
          <w:bCs/>
          <w:sz w:val="24"/>
        </w:rPr>
        <w:t xml:space="preserve">集合计划</w:t>
      </w:r>
      <w:r>
        <w:rPr>
          <w:rFonts w:ascii="宋体" w:hAnsi="宋体"/>
          <w:bCs/>
          <w:sz w:val="24"/>
        </w:rPr>
        <w:t xml:space="preserve">之间在账户设置、资金划拨、账册记录等方</w:t>
      </w:r>
      <w:r>
        <w:rPr>
          <w:rFonts w:ascii="宋体" w:hAnsi="宋体"/>
          <w:bCs/>
          <w:sz w:val="24"/>
        </w:rPr>
        <w:t xml:space="preserve">面相互独立；</w:t>
      </w:r>
      <w:r/>
    </w:p>
    <w:p>
      <w:pPr>
        <w:pStyle w:val="369"/>
        <w:ind w:firstLine="480"/>
        <w:snapToGrid w:val="1"/>
        <w:spacing w:lineRule="auto" w:line="360"/>
        <w:rPr>
          <w:rFonts w:ascii="宋体" w:hAnsi="宋体"/>
          <w:bCs/>
          <w:sz w:val="24"/>
        </w:rPr>
      </w:pPr>
      <w:r>
        <w:rPr>
          <w:rFonts w:ascii="宋体" w:hAnsi="宋体"/>
          <w:bCs/>
          <w:sz w:val="24"/>
        </w:rPr>
        <w:t xml:space="preserve">（4）除依据《基金法》、《集合计划合同》</w:t>
      </w:r>
      <w:r>
        <w:rPr>
          <w:rFonts w:ascii="宋体" w:hAnsi="宋体"/>
          <w:bCs/>
          <w:sz w:val="24"/>
        </w:rPr>
        <w:t xml:space="preserve">、《托管协议》</w:t>
      </w:r>
      <w:r>
        <w:rPr>
          <w:rFonts w:ascii="宋体" w:hAnsi="宋体"/>
          <w:bCs/>
          <w:sz w:val="24"/>
        </w:rPr>
        <w:t xml:space="preserve">及其他有关规定外，不得利用</w:t>
      </w:r>
      <w:r>
        <w:rPr>
          <w:rFonts w:ascii="宋体" w:hAnsi="宋体"/>
          <w:bCs/>
          <w:sz w:val="24"/>
        </w:rPr>
        <w:t xml:space="preserve">集合计划</w:t>
      </w:r>
      <w:r>
        <w:rPr>
          <w:rFonts w:ascii="宋体" w:hAnsi="宋体"/>
          <w:bCs/>
          <w:sz w:val="24"/>
        </w:rPr>
        <w:t xml:space="preserve">财产为自己及任何第三人谋取利益，不得委托第三人托管</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（5）保管由管理人代表</w:t>
      </w:r>
      <w:r>
        <w:rPr>
          <w:rFonts w:ascii="宋体" w:hAnsi="宋体"/>
          <w:bCs/>
          <w:sz w:val="24"/>
        </w:rPr>
        <w:t xml:space="preserve">集合计划</w:t>
      </w:r>
      <w:r>
        <w:rPr>
          <w:rFonts w:ascii="宋体" w:hAnsi="宋体"/>
          <w:bCs/>
          <w:sz w:val="24"/>
        </w:rPr>
        <w:t xml:space="preserve">签订的与</w:t>
      </w:r>
      <w:r>
        <w:rPr>
          <w:rFonts w:ascii="宋体" w:hAnsi="宋体"/>
          <w:bCs/>
          <w:sz w:val="24"/>
        </w:rPr>
        <w:t xml:space="preserve">集合计划</w:t>
      </w:r>
      <w:r>
        <w:rPr>
          <w:rFonts w:ascii="宋体" w:hAnsi="宋体"/>
          <w:bCs/>
          <w:sz w:val="24"/>
        </w:rPr>
        <w:t xml:space="preserve">有关的重大合同及有关凭证；</w:t>
      </w:r>
      <w:r/>
    </w:p>
    <w:p>
      <w:pPr>
        <w:pStyle w:val="369"/>
        <w:ind w:firstLine="480"/>
        <w:snapToGrid w:val="1"/>
        <w:spacing w:lineRule="auto" w:line="360"/>
        <w:rPr>
          <w:rFonts w:ascii="宋体" w:hAnsi="宋体"/>
          <w:bCs/>
          <w:sz w:val="24"/>
        </w:rPr>
      </w:pPr>
      <w:r>
        <w:rPr>
          <w:rFonts w:ascii="宋体" w:hAnsi="宋体"/>
          <w:bCs/>
          <w:sz w:val="24"/>
        </w:rPr>
        <w:t xml:space="preserve">（6）按规定开设</w:t>
      </w:r>
      <w:r>
        <w:rPr>
          <w:rFonts w:ascii="宋体" w:hAnsi="宋体"/>
          <w:bCs/>
          <w:sz w:val="24"/>
        </w:rPr>
        <w:t xml:space="preserve">集合计划</w:t>
      </w:r>
      <w:r>
        <w:rPr>
          <w:rFonts w:ascii="宋体" w:hAnsi="宋体"/>
          <w:bCs/>
          <w:sz w:val="24"/>
        </w:rPr>
        <w:t xml:space="preserve">财产的资金账户和证券账户</w:t>
      </w:r>
      <w:r>
        <w:rPr>
          <w:rFonts w:ascii="宋体" w:hAnsi="宋体"/>
          <w:bCs/>
          <w:sz w:val="24"/>
        </w:rPr>
        <w:t xml:space="preserve">等投资所需账户，</w:t>
      </w:r>
      <w:r>
        <w:rPr>
          <w:rFonts w:ascii="宋体" w:hAnsi="宋体"/>
          <w:bCs/>
          <w:sz w:val="24"/>
        </w:rPr>
        <w:t xml:space="preserve">按照《集合计划合同》</w:t>
      </w:r>
      <w:r>
        <w:rPr>
          <w:rFonts w:ascii="宋体" w:hAnsi="宋体"/>
          <w:bCs/>
          <w:sz w:val="24"/>
        </w:rPr>
        <w:t xml:space="preserve">、《托管协议》</w:t>
      </w:r>
      <w:r>
        <w:rPr>
          <w:rFonts w:ascii="宋体" w:hAnsi="宋体"/>
          <w:bCs/>
          <w:sz w:val="24"/>
        </w:rPr>
        <w:t xml:space="preserve">的约定，根据管理人的投资指令，及时办理清算、交割事宜；</w:t>
      </w:r>
      <w:r/>
    </w:p>
    <w:p>
      <w:pPr>
        <w:pStyle w:val="369"/>
        <w:ind w:firstLine="480"/>
        <w:snapToGrid w:val="1"/>
        <w:spacing w:lineRule="auto" w:line="360"/>
        <w:rPr>
          <w:rFonts w:ascii="宋体" w:hAnsi="宋体"/>
          <w:bCs/>
          <w:sz w:val="24"/>
        </w:rPr>
      </w:pPr>
      <w:r>
        <w:rPr>
          <w:rFonts w:ascii="宋体" w:hAnsi="宋体"/>
          <w:bCs/>
          <w:sz w:val="24"/>
        </w:rPr>
        <w:t xml:space="preserve">（7）保守</w:t>
      </w:r>
      <w:r>
        <w:rPr>
          <w:rFonts w:ascii="宋体" w:hAnsi="宋体"/>
          <w:bCs/>
          <w:sz w:val="24"/>
        </w:rPr>
        <w:t xml:space="preserve">集合计划</w:t>
      </w:r>
      <w:r>
        <w:rPr>
          <w:rFonts w:ascii="宋体" w:hAnsi="宋体"/>
          <w:bCs/>
          <w:sz w:val="24"/>
        </w:rPr>
        <w:t xml:space="preserve">商业秘密，除《基金法》、《集合计划合同》</w:t>
      </w:r>
      <w:r>
        <w:rPr>
          <w:rFonts w:ascii="宋体" w:hAnsi="宋体"/>
          <w:bCs/>
          <w:sz w:val="24"/>
        </w:rPr>
        <w:t xml:space="preserve">、《托管协议》</w:t>
      </w:r>
      <w:r>
        <w:rPr>
          <w:rFonts w:ascii="宋体" w:hAnsi="宋体"/>
          <w:bCs/>
          <w:sz w:val="24"/>
        </w:rPr>
        <w:t xml:space="preserve">及其他有关规定另有规定外，在</w:t>
      </w:r>
      <w:r>
        <w:rPr>
          <w:rFonts w:ascii="宋体" w:hAnsi="宋体"/>
          <w:bCs/>
          <w:sz w:val="24"/>
        </w:rPr>
        <w:t xml:space="preserve">集合计划</w:t>
      </w:r>
      <w:r>
        <w:rPr>
          <w:rFonts w:ascii="宋体" w:hAnsi="宋体"/>
          <w:bCs/>
          <w:sz w:val="24"/>
        </w:rPr>
        <w:t xml:space="preserve">信息公开</w:t>
      </w:r>
      <w:r>
        <w:rPr>
          <w:rFonts w:ascii="宋体" w:hAnsi="宋体"/>
          <w:bCs/>
          <w:sz w:val="24"/>
        </w:rPr>
        <w:t xml:space="preserve">披露前予以保密，不得向他人泄露</w:t>
      </w:r>
      <w:r>
        <w:rPr>
          <w:rFonts w:ascii="宋体" w:hAnsi="宋体"/>
          <w:bCs/>
          <w:sz w:val="24"/>
        </w:rPr>
        <w:t xml:space="preserve">，因向审计、法律等外部专业顾问提供的情况除外</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（8）复核、审查管理人计算的集合计划资产净值、</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净值、集合计划</w:t>
      </w:r>
      <w:r>
        <w:rPr>
          <w:rFonts w:ascii="宋体" w:hAnsi="宋体"/>
          <w:bCs/>
          <w:sz w:val="24"/>
        </w:rPr>
        <w:t xml:space="preserve">份额申购、赎回价格；</w:t>
      </w:r>
      <w:r/>
    </w:p>
    <w:p>
      <w:pPr>
        <w:pStyle w:val="369"/>
        <w:ind w:firstLine="480"/>
        <w:snapToGrid w:val="1"/>
        <w:spacing w:lineRule="auto" w:line="360"/>
        <w:rPr>
          <w:rFonts w:ascii="宋体" w:hAnsi="宋体"/>
          <w:bCs/>
          <w:sz w:val="24"/>
        </w:rPr>
      </w:pPr>
      <w:r>
        <w:rPr>
          <w:rFonts w:ascii="宋体" w:hAnsi="宋体"/>
          <w:bCs/>
          <w:sz w:val="24"/>
        </w:rPr>
        <w:t xml:space="preserve">（9）办理与</w:t>
      </w:r>
      <w:r>
        <w:rPr>
          <w:rFonts w:ascii="宋体" w:hAnsi="宋体"/>
          <w:bCs/>
          <w:sz w:val="24"/>
        </w:rPr>
        <w:t xml:space="preserve">集合计划</w:t>
      </w:r>
      <w:r>
        <w:rPr>
          <w:rFonts w:ascii="宋体" w:hAnsi="宋体"/>
          <w:bCs/>
          <w:sz w:val="24"/>
        </w:rPr>
        <w:t xml:space="preserve">托管业务活动有关的信息披露事项；</w:t>
      </w:r>
      <w:r/>
    </w:p>
    <w:p>
      <w:pPr>
        <w:pStyle w:val="369"/>
        <w:ind w:firstLine="480"/>
        <w:snapToGrid w:val="1"/>
        <w:spacing w:lineRule="auto" w:line="360"/>
        <w:rPr>
          <w:rFonts w:ascii="宋体" w:hAnsi="宋体"/>
          <w:bCs/>
          <w:sz w:val="24"/>
        </w:rPr>
      </w:pPr>
      <w:r>
        <w:rPr>
          <w:rFonts w:ascii="宋体" w:hAnsi="宋体"/>
          <w:bCs/>
          <w:sz w:val="24"/>
        </w:rPr>
        <w:t xml:space="preserve">（10）对</w:t>
      </w:r>
      <w:r>
        <w:rPr>
          <w:rFonts w:ascii="宋体" w:hAnsi="宋体"/>
          <w:bCs/>
          <w:sz w:val="24"/>
        </w:rPr>
        <w:t xml:space="preserve">集合计划</w:t>
      </w:r>
      <w:r>
        <w:rPr>
          <w:rFonts w:ascii="宋体" w:hAnsi="宋体"/>
          <w:bCs/>
          <w:sz w:val="24"/>
        </w:rPr>
        <w:t xml:space="preserve">财务会计报告、</w:t>
      </w:r>
      <w:r>
        <w:rPr>
          <w:rFonts w:ascii="宋体" w:hAnsi="宋体"/>
          <w:bCs/>
          <w:sz w:val="24"/>
        </w:rPr>
        <w:t xml:space="preserve">季度报告、中期报告</w:t>
      </w:r>
      <w:r>
        <w:rPr>
          <w:rFonts w:ascii="宋体" w:hAnsi="宋体"/>
          <w:bCs/>
          <w:sz w:val="24"/>
        </w:rPr>
        <w:t xml:space="preserve">和年度报告出具意见，说明管理人在各重要方面的运作是否严格按照《集合计划合同》</w:t>
      </w:r>
      <w:r>
        <w:rPr>
          <w:rFonts w:ascii="宋体" w:hAnsi="宋体"/>
          <w:bCs/>
          <w:sz w:val="24"/>
        </w:rPr>
        <w:t xml:space="preserve">、《托管协议》</w:t>
      </w:r>
      <w:r>
        <w:rPr>
          <w:rFonts w:ascii="宋体" w:hAnsi="宋体"/>
          <w:bCs/>
          <w:sz w:val="24"/>
        </w:rPr>
        <w:t xml:space="preserve">的规定进行；如果管理人有未执行《集合计划合同》</w:t>
      </w:r>
      <w:r>
        <w:rPr>
          <w:rFonts w:ascii="宋体" w:hAnsi="宋体"/>
          <w:bCs/>
          <w:sz w:val="24"/>
        </w:rPr>
        <w:t xml:space="preserve">、《托管协议》</w:t>
      </w:r>
      <w:r>
        <w:rPr>
          <w:rFonts w:ascii="宋体" w:hAnsi="宋体"/>
          <w:bCs/>
          <w:sz w:val="24"/>
        </w:rPr>
        <w:t xml:space="preserve">规定的行为，还应当说明托管人是否采取了适当的措施；</w:t>
      </w:r>
      <w:r/>
    </w:p>
    <w:p>
      <w:pPr>
        <w:pStyle w:val="369"/>
        <w:ind w:firstLine="480"/>
        <w:snapToGrid w:val="1"/>
        <w:spacing w:lineRule="auto" w:line="360"/>
        <w:rPr>
          <w:rFonts w:ascii="宋体" w:hAnsi="宋体"/>
          <w:bCs/>
          <w:sz w:val="24"/>
        </w:rPr>
      </w:pPr>
      <w:r>
        <w:rPr>
          <w:rFonts w:ascii="宋体" w:hAnsi="宋体"/>
          <w:bCs/>
          <w:sz w:val="24"/>
        </w:rPr>
        <w:t xml:space="preserve">（11）保存</w:t>
      </w:r>
      <w:r>
        <w:rPr>
          <w:rFonts w:ascii="宋体" w:hAnsi="宋体"/>
          <w:bCs/>
          <w:sz w:val="24"/>
        </w:rPr>
        <w:t xml:space="preserve">集合计划</w:t>
      </w:r>
      <w:r>
        <w:rPr>
          <w:rFonts w:ascii="宋体" w:hAnsi="宋体"/>
          <w:bCs/>
          <w:sz w:val="24"/>
        </w:rPr>
        <w:t xml:space="preserve">托管业务活动的</w:t>
      </w:r>
      <w:r>
        <w:rPr>
          <w:rFonts w:ascii="宋体" w:hAnsi="宋体"/>
          <w:bCs/>
          <w:sz w:val="24"/>
        </w:rPr>
        <w:t xml:space="preserve">记录、账册、报表和其他相关资料</w:t>
      </w:r>
      <w:r>
        <w:rPr>
          <w:rFonts w:ascii="宋体" w:hAnsi="宋体"/>
          <w:bCs/>
          <w:sz w:val="24"/>
        </w:rPr>
        <w:t xml:space="preserve">不低于法律法规规定的最低期限</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（12）</w:t>
      </w:r>
      <w:r>
        <w:rPr>
          <w:rFonts w:ascii="宋体" w:hAnsi="宋体"/>
          <w:bCs/>
          <w:sz w:val="24"/>
        </w:rPr>
        <w:t xml:space="preserve">从管理人或其委托的登记机构处接收</w:t>
      </w:r>
      <w:r>
        <w:rPr>
          <w:rFonts w:ascii="宋体" w:hAnsi="宋体"/>
          <w:bCs/>
          <w:sz w:val="24"/>
        </w:rPr>
        <w:t xml:space="preserve">并保存集合计划份额持有人名册；</w:t>
      </w:r>
      <w:r/>
    </w:p>
    <w:p>
      <w:pPr>
        <w:pStyle w:val="369"/>
        <w:ind w:firstLine="480"/>
        <w:snapToGrid w:val="1"/>
        <w:spacing w:lineRule="auto" w:line="360"/>
        <w:rPr>
          <w:rFonts w:ascii="宋体" w:hAnsi="宋体"/>
          <w:bCs/>
          <w:sz w:val="24"/>
        </w:rPr>
      </w:pPr>
      <w:r>
        <w:rPr>
          <w:rFonts w:ascii="宋体" w:hAnsi="宋体"/>
          <w:bCs/>
          <w:sz w:val="24"/>
        </w:rPr>
        <w:t xml:space="preserve">（13）按规定制作相关账册并与管理人核对；</w:t>
      </w:r>
      <w:r/>
    </w:p>
    <w:p>
      <w:pPr>
        <w:pStyle w:val="369"/>
        <w:ind w:firstLine="480"/>
        <w:snapToGrid w:val="1"/>
        <w:spacing w:lineRule="auto" w:line="360"/>
        <w:rPr>
          <w:rFonts w:ascii="宋体" w:hAnsi="宋体"/>
          <w:bCs/>
          <w:sz w:val="24"/>
        </w:rPr>
      </w:pPr>
      <w:r>
        <w:rPr>
          <w:rFonts w:ascii="宋体" w:hAnsi="宋体"/>
          <w:bCs/>
          <w:sz w:val="24"/>
        </w:rPr>
        <w:t xml:space="preserve">（14）依据管理人的指令或有关规定向集合计划份额持有人支付</w:t>
      </w:r>
      <w:r>
        <w:rPr>
          <w:rFonts w:ascii="宋体" w:hAnsi="宋体"/>
          <w:bCs/>
          <w:sz w:val="24"/>
        </w:rPr>
        <w:t xml:space="preserve">集合计划</w:t>
      </w:r>
      <w:r>
        <w:rPr>
          <w:rFonts w:ascii="宋体" w:hAnsi="宋体"/>
          <w:bCs/>
          <w:sz w:val="24"/>
        </w:rPr>
        <w:t xml:space="preserve">收益和赎回款项；</w:t>
      </w:r>
      <w:r/>
    </w:p>
    <w:p>
      <w:pPr>
        <w:pStyle w:val="369"/>
        <w:ind w:firstLine="480"/>
        <w:snapToGrid w:val="1"/>
        <w:spacing w:lineRule="auto" w:line="360"/>
        <w:rPr>
          <w:rFonts w:ascii="宋体" w:hAnsi="宋体"/>
          <w:bCs/>
          <w:sz w:val="24"/>
        </w:rPr>
      </w:pPr>
      <w:r>
        <w:rPr>
          <w:rFonts w:ascii="宋体" w:hAnsi="宋体"/>
          <w:bCs/>
          <w:sz w:val="24"/>
        </w:rPr>
        <w:t xml:space="preserve">（15）依据《基金法》、《集合计划合同》及其他有关规定，召集集合计划份额持有人大会或配合</w:t>
      </w:r>
      <w:r>
        <w:rPr>
          <w:rFonts w:ascii="宋体" w:hAnsi="宋体"/>
          <w:bCs/>
          <w:sz w:val="24"/>
        </w:rPr>
        <w:t xml:space="preserve">管理人、</w:t>
      </w:r>
      <w:r>
        <w:rPr>
          <w:rFonts w:ascii="宋体" w:hAnsi="宋体"/>
          <w:bCs/>
          <w:sz w:val="24"/>
        </w:rPr>
        <w:t xml:space="preserve">集合计划份额持有人依法召集集合计划份额持有人大会；</w:t>
      </w:r>
      <w:r/>
    </w:p>
    <w:p>
      <w:pPr>
        <w:pStyle w:val="369"/>
        <w:ind w:firstLine="480"/>
        <w:snapToGrid w:val="1"/>
        <w:spacing w:lineRule="auto" w:line="360"/>
        <w:rPr>
          <w:rFonts w:ascii="宋体" w:hAnsi="宋体"/>
          <w:bCs/>
          <w:sz w:val="24"/>
        </w:rPr>
      </w:pPr>
      <w:r>
        <w:rPr>
          <w:rFonts w:ascii="宋体" w:hAnsi="宋体"/>
          <w:bCs/>
          <w:sz w:val="24"/>
        </w:rPr>
        <w:t xml:space="preserve">（16）按照法律法规和《集合计划合同》</w:t>
      </w:r>
      <w:r>
        <w:rPr>
          <w:rFonts w:ascii="宋体" w:hAnsi="宋体"/>
          <w:bCs/>
          <w:sz w:val="24"/>
        </w:rPr>
        <w:t xml:space="preserve">、《托管协议》</w:t>
      </w:r>
      <w:r>
        <w:rPr>
          <w:rFonts w:ascii="宋体" w:hAnsi="宋体"/>
          <w:bCs/>
          <w:sz w:val="24"/>
        </w:rPr>
        <w:t xml:space="preserve">的规定监督管理人的投资运作；</w:t>
      </w:r>
      <w:r/>
    </w:p>
    <w:p>
      <w:pPr>
        <w:pStyle w:val="369"/>
        <w:ind w:firstLine="480"/>
        <w:snapToGrid w:val="1"/>
        <w:spacing w:lineRule="auto" w:line="360"/>
        <w:rPr>
          <w:rFonts w:ascii="宋体" w:hAnsi="宋体"/>
          <w:bCs/>
          <w:sz w:val="24"/>
        </w:rPr>
      </w:pPr>
      <w:r>
        <w:rPr>
          <w:rFonts w:ascii="宋体" w:hAnsi="宋体"/>
          <w:bCs/>
          <w:sz w:val="24"/>
        </w:rPr>
        <w:t xml:space="preserve">（17）参加</w:t>
      </w:r>
      <w:r>
        <w:rPr>
          <w:rFonts w:ascii="宋体" w:hAnsi="宋体"/>
          <w:bCs/>
          <w:sz w:val="24"/>
        </w:rPr>
        <w:t xml:space="preserve">集合计划</w:t>
      </w:r>
      <w:r>
        <w:rPr>
          <w:rFonts w:ascii="宋体" w:hAnsi="宋体"/>
          <w:bCs/>
          <w:sz w:val="24"/>
        </w:rPr>
        <w:t xml:space="preserve">财产清算小组，参与</w:t>
      </w:r>
      <w:r>
        <w:rPr>
          <w:rFonts w:ascii="宋体" w:hAnsi="宋体"/>
          <w:bCs/>
          <w:sz w:val="24"/>
        </w:rPr>
        <w:t xml:space="preserve">集合计划</w:t>
      </w:r>
      <w:r>
        <w:rPr>
          <w:rFonts w:ascii="宋体" w:hAnsi="宋体"/>
          <w:bCs/>
          <w:sz w:val="24"/>
        </w:rPr>
        <w:t xml:space="preserve">财产的保管、清理、估价、变现和分配；</w:t>
      </w:r>
      <w:r/>
    </w:p>
    <w:p>
      <w:pPr>
        <w:pStyle w:val="369"/>
        <w:ind w:firstLine="480"/>
        <w:snapToGrid w:val="1"/>
        <w:spacing w:lineRule="auto" w:line="360"/>
        <w:rPr>
          <w:rFonts w:ascii="宋体" w:hAnsi="宋体"/>
          <w:bCs/>
          <w:sz w:val="24"/>
        </w:rPr>
      </w:pPr>
      <w:r>
        <w:rPr>
          <w:rFonts w:ascii="宋体" w:hAnsi="宋体"/>
          <w:bCs/>
          <w:sz w:val="24"/>
        </w:rPr>
        <w:t xml:space="preserve">（18）面临解散、依法被撤销或者被依法宣告破产时，及时报告中国证监会和银行</w:t>
      </w:r>
      <w:r>
        <w:rPr>
          <w:rFonts w:ascii="宋体" w:hAnsi="宋体"/>
          <w:bCs/>
          <w:sz w:val="24"/>
        </w:rPr>
        <w:t xml:space="preserve">业监督管理</w:t>
      </w:r>
      <w:r>
        <w:rPr>
          <w:rFonts w:ascii="宋体" w:hAnsi="宋体"/>
          <w:bCs/>
          <w:sz w:val="24"/>
        </w:rPr>
        <w:t xml:space="preserve">机构，并通知管理人；</w:t>
      </w:r>
      <w:r/>
    </w:p>
    <w:p>
      <w:pPr>
        <w:pStyle w:val="369"/>
        <w:ind w:firstLine="480"/>
        <w:snapToGrid w:val="1"/>
        <w:spacing w:lineRule="auto" w:line="360"/>
        <w:rPr>
          <w:rFonts w:ascii="宋体" w:hAnsi="宋体"/>
          <w:bCs/>
          <w:sz w:val="24"/>
        </w:rPr>
      </w:pPr>
      <w:r>
        <w:rPr>
          <w:rFonts w:ascii="宋体" w:hAnsi="宋体"/>
          <w:bCs/>
          <w:sz w:val="24"/>
        </w:rPr>
        <w:t xml:space="preserve">（19）因违反《集合计划合同》导致</w:t>
      </w:r>
      <w:r>
        <w:rPr>
          <w:rFonts w:ascii="宋体" w:hAnsi="宋体"/>
          <w:bCs/>
          <w:sz w:val="24"/>
        </w:rPr>
        <w:t xml:space="preserve">集合计划</w:t>
      </w:r>
      <w:r>
        <w:rPr>
          <w:rFonts w:ascii="宋体" w:hAnsi="宋体"/>
          <w:bCs/>
          <w:sz w:val="24"/>
        </w:rPr>
        <w:t xml:space="preserve">财产损失时，应承担赔偿责任，其赔偿责任不因其退任而免除；</w:t>
      </w:r>
      <w:r/>
    </w:p>
    <w:p>
      <w:pPr>
        <w:pStyle w:val="369"/>
        <w:ind w:firstLine="480"/>
        <w:snapToGrid w:val="1"/>
        <w:spacing w:lineRule="auto" w:line="360"/>
        <w:rPr>
          <w:rFonts w:ascii="宋体" w:hAnsi="宋体"/>
          <w:bCs/>
          <w:sz w:val="24"/>
        </w:rPr>
      </w:pPr>
      <w:r>
        <w:rPr>
          <w:rFonts w:ascii="宋体" w:hAnsi="宋体"/>
          <w:bCs/>
          <w:sz w:val="24"/>
        </w:rPr>
        <w:t xml:space="preserve">（20）按规定监督管理人按法律法规和《集合计划合同》规定履行自己的义务，管理人因违反《集合计划合同》造成</w:t>
      </w:r>
      <w:r>
        <w:rPr>
          <w:rFonts w:ascii="宋体" w:hAnsi="宋体"/>
          <w:bCs/>
          <w:sz w:val="24"/>
        </w:rPr>
        <w:t xml:space="preserve">集合计划</w:t>
      </w:r>
      <w:r>
        <w:rPr>
          <w:rFonts w:ascii="宋体" w:hAnsi="宋体"/>
          <w:bCs/>
          <w:sz w:val="24"/>
        </w:rPr>
        <w:t xml:space="preserve">财产损失时，应为集合计划份额持有人利益向管理人追偿；</w:t>
      </w:r>
      <w:r/>
    </w:p>
    <w:p>
      <w:pPr>
        <w:pStyle w:val="369"/>
        <w:ind w:firstLine="480"/>
        <w:snapToGrid w:val="1"/>
        <w:spacing w:lineRule="auto" w:line="360"/>
        <w:rPr>
          <w:rFonts w:ascii="宋体" w:hAnsi="宋体"/>
          <w:bCs/>
          <w:sz w:val="24"/>
        </w:rPr>
      </w:pPr>
      <w:r>
        <w:rPr>
          <w:rFonts w:ascii="宋体" w:hAnsi="宋体"/>
          <w:bCs/>
          <w:sz w:val="24"/>
        </w:rPr>
        <w:t xml:space="preserve">（21）执行生效的集合计划份额持有人大会的</w:t>
      </w:r>
      <w:r>
        <w:rPr>
          <w:rFonts w:ascii="宋体" w:hAnsi="宋体"/>
          <w:bCs/>
          <w:sz w:val="24"/>
        </w:rPr>
        <w:t xml:space="preserve">决议</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（22）法律法规及中国证监</w:t>
      </w:r>
      <w:r>
        <w:rPr>
          <w:rFonts w:ascii="宋体" w:hAnsi="宋体"/>
          <w:bCs/>
          <w:sz w:val="24"/>
        </w:rPr>
        <w:t xml:space="preserve">会规定的和《集合计划合同》约定的其他义务。</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三</w:t>
      </w:r>
      <w:r>
        <w:rPr>
          <w:rFonts w:ascii="宋体" w:hAnsi="宋体"/>
          <w:bCs/>
          <w:sz w:val="24"/>
        </w:rPr>
        <w:t xml:space="preserve">）集合计划份额持有人</w:t>
      </w:r>
      <w:r>
        <w:rPr>
          <w:rFonts w:ascii="宋体" w:hAnsi="宋体"/>
          <w:bCs/>
          <w:sz w:val="24"/>
        </w:rPr>
        <w:t xml:space="preserve">的权利和义务</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投资者</w:t>
      </w:r>
      <w:r>
        <w:rPr>
          <w:rFonts w:ascii="宋体" w:hAnsi="宋体"/>
          <w:bCs/>
          <w:sz w:val="24"/>
        </w:rPr>
        <w:t xml:space="preserve">持有</w:t>
      </w:r>
      <w:r>
        <w:rPr>
          <w:rFonts w:ascii="宋体" w:hAnsi="宋体"/>
          <w:bCs/>
          <w:sz w:val="24"/>
        </w:rPr>
        <w:t xml:space="preserve">本集合计划份额的行为即视为对《集合计划合同》的承认和接受，</w:t>
      </w:r>
      <w:r>
        <w:rPr>
          <w:rFonts w:ascii="宋体" w:hAnsi="宋体"/>
          <w:bCs/>
          <w:sz w:val="24"/>
        </w:rPr>
        <w:t xml:space="preserve">集合计划</w:t>
      </w:r>
      <w:r>
        <w:rPr>
          <w:rFonts w:ascii="宋体" w:hAnsi="宋体"/>
          <w:bCs/>
          <w:sz w:val="24"/>
        </w:rPr>
        <w:t xml:space="preserve">投资者自依据《集合计划合同》取得</w:t>
      </w:r>
      <w:r>
        <w:rPr>
          <w:rFonts w:ascii="宋体" w:hAnsi="宋体"/>
          <w:bCs/>
          <w:sz w:val="24"/>
        </w:rPr>
        <w:t xml:space="preserve">集合计划</w:t>
      </w:r>
      <w:r>
        <w:rPr>
          <w:rFonts w:ascii="宋体" w:hAnsi="宋体"/>
          <w:bCs/>
          <w:sz w:val="24"/>
        </w:rPr>
        <w:t xml:space="preserve">份额，即成为本集合计划份额持有人和《集合计划合同》的当事人，直至其不再持有本集合计划的</w:t>
      </w:r>
      <w:r>
        <w:rPr>
          <w:rFonts w:ascii="宋体" w:hAnsi="宋体"/>
          <w:bCs/>
          <w:sz w:val="24"/>
        </w:rPr>
        <w:t xml:space="preserve">集合计划</w:t>
      </w:r>
      <w:r>
        <w:rPr>
          <w:rFonts w:ascii="宋体" w:hAnsi="宋体"/>
          <w:bCs/>
          <w:sz w:val="24"/>
        </w:rPr>
        <w:t xml:space="preserve">份额。集合计划份额持有人作为《集合计划合同》当事人并不以在《集合计划合同》上书面签章或签字为必要条件。</w:t>
      </w:r>
      <w:r/>
    </w:p>
    <w:p>
      <w:pPr>
        <w:pStyle w:val="369"/>
        <w:ind w:firstLine="480"/>
        <w:snapToGrid w:val="1"/>
        <w:spacing w:lineRule="auto" w:line="360"/>
        <w:rPr>
          <w:rFonts w:ascii="宋体" w:hAnsi="宋体"/>
          <w:bCs/>
          <w:sz w:val="24"/>
        </w:rPr>
      </w:pPr>
      <w:r>
        <w:rPr>
          <w:rFonts w:ascii="宋体" w:hAnsi="宋体"/>
          <w:bCs/>
          <w:sz w:val="24"/>
        </w:rPr>
        <w:t xml:space="preserve">每份</w:t>
      </w:r>
      <w:r>
        <w:rPr>
          <w:rFonts w:ascii="宋体" w:hAnsi="宋体"/>
          <w:bCs/>
          <w:sz w:val="24"/>
        </w:rPr>
        <w:t xml:space="preserve">集合计划</w:t>
      </w:r>
      <w:r>
        <w:rPr>
          <w:rFonts w:ascii="宋体" w:hAnsi="宋体"/>
          <w:bCs/>
          <w:sz w:val="24"/>
        </w:rPr>
        <w:t xml:space="preserve">份额具有同等的合法权益。</w:t>
      </w:r>
      <w:r/>
    </w:p>
    <w:p>
      <w:pPr>
        <w:pStyle w:val="369"/>
        <w:ind w:firstLine="480"/>
        <w:snapToGrid w:val="1"/>
        <w:spacing w:lineRule="auto" w:line="360"/>
        <w:rPr>
          <w:rFonts w:ascii="宋体" w:hAnsi="宋体"/>
          <w:bCs/>
          <w:sz w:val="24"/>
        </w:rPr>
      </w:pPr>
      <w:r>
        <w:rPr>
          <w:rFonts w:ascii="宋体" w:hAnsi="宋体"/>
          <w:bCs/>
          <w:sz w:val="24"/>
        </w:rPr>
        <w:t xml:space="preserve">1、根据《基金法》、《运作办法》及其他有关规定，集合计划份额持有人的权</w:t>
      </w:r>
      <w:r>
        <w:rPr>
          <w:rFonts w:ascii="宋体" w:hAnsi="宋体"/>
          <w:bCs/>
          <w:sz w:val="24"/>
        </w:rPr>
        <w:t xml:space="preserve">利包括但不限于：</w:t>
      </w:r>
      <w:r/>
    </w:p>
    <w:p>
      <w:pPr>
        <w:pStyle w:val="369"/>
        <w:ind w:firstLine="480"/>
        <w:snapToGrid w:val="1"/>
        <w:spacing w:lineRule="auto" w:line="360"/>
        <w:rPr>
          <w:rFonts w:ascii="宋体" w:hAnsi="宋体"/>
          <w:bCs/>
          <w:sz w:val="24"/>
        </w:rPr>
      </w:pPr>
      <w:r>
        <w:rPr>
          <w:rFonts w:ascii="宋体" w:hAnsi="宋体"/>
          <w:bCs/>
          <w:sz w:val="24"/>
        </w:rPr>
        <w:t xml:space="preserve">（1）分享</w:t>
      </w:r>
      <w:r>
        <w:rPr>
          <w:rFonts w:ascii="宋体" w:hAnsi="宋体"/>
          <w:bCs/>
          <w:sz w:val="24"/>
        </w:rPr>
        <w:t xml:space="preserve">集合计划</w:t>
      </w:r>
      <w:r>
        <w:rPr>
          <w:rFonts w:ascii="宋体" w:hAnsi="宋体"/>
          <w:bCs/>
          <w:sz w:val="24"/>
        </w:rPr>
        <w:t xml:space="preserve">财产收益；</w:t>
      </w:r>
      <w:r/>
    </w:p>
    <w:p>
      <w:pPr>
        <w:pStyle w:val="369"/>
        <w:ind w:firstLine="480"/>
        <w:snapToGrid w:val="1"/>
        <w:spacing w:lineRule="auto" w:line="360"/>
        <w:rPr>
          <w:rFonts w:ascii="宋体" w:hAnsi="宋体"/>
          <w:bCs/>
          <w:sz w:val="24"/>
        </w:rPr>
      </w:pPr>
      <w:r>
        <w:rPr>
          <w:rFonts w:ascii="宋体" w:hAnsi="宋体"/>
          <w:bCs/>
          <w:sz w:val="24"/>
        </w:rPr>
        <w:t xml:space="preserve">（2）参与分配清算后的剩余</w:t>
      </w:r>
      <w:r>
        <w:rPr>
          <w:rFonts w:ascii="宋体" w:hAnsi="宋体"/>
          <w:bCs/>
          <w:sz w:val="24"/>
        </w:rPr>
        <w:t xml:space="preserve">集合计划</w:t>
      </w:r>
      <w:r>
        <w:rPr>
          <w:rFonts w:ascii="宋体" w:hAnsi="宋体"/>
          <w:bCs/>
          <w:sz w:val="24"/>
        </w:rPr>
        <w:t xml:space="preserve">财产；</w:t>
      </w:r>
      <w:r/>
    </w:p>
    <w:p>
      <w:pPr>
        <w:pStyle w:val="369"/>
        <w:ind w:firstLine="480"/>
        <w:snapToGrid w:val="1"/>
        <w:spacing w:lineRule="auto" w:line="360"/>
        <w:rPr>
          <w:rFonts w:ascii="宋体" w:hAnsi="宋体"/>
          <w:bCs/>
          <w:sz w:val="24"/>
        </w:rPr>
      </w:pPr>
      <w:r>
        <w:rPr>
          <w:rFonts w:ascii="宋体" w:hAnsi="宋体"/>
          <w:bCs/>
          <w:sz w:val="24"/>
        </w:rPr>
        <w:t xml:space="preserve">（3）依法</w:t>
      </w:r>
      <w:r>
        <w:rPr>
          <w:rFonts w:ascii="宋体" w:hAnsi="宋体"/>
          <w:bCs/>
          <w:sz w:val="24"/>
        </w:rPr>
        <w:t xml:space="preserve">转让或者</w:t>
      </w:r>
      <w:r>
        <w:rPr>
          <w:rFonts w:ascii="宋体" w:hAnsi="宋体"/>
          <w:bCs/>
          <w:sz w:val="24"/>
        </w:rPr>
        <w:t xml:space="preserve">申请赎回其持有的</w:t>
      </w:r>
      <w:r>
        <w:rPr>
          <w:rFonts w:ascii="宋体" w:hAnsi="宋体"/>
          <w:bCs/>
          <w:sz w:val="24"/>
        </w:rPr>
        <w:t xml:space="preserve">集合计划</w:t>
      </w:r>
      <w:r>
        <w:rPr>
          <w:rFonts w:ascii="宋体" w:hAnsi="宋体"/>
          <w:bCs/>
          <w:sz w:val="24"/>
        </w:rPr>
        <w:t xml:space="preserve">份额；</w:t>
      </w:r>
      <w:r/>
    </w:p>
    <w:p>
      <w:pPr>
        <w:pStyle w:val="369"/>
        <w:ind w:firstLine="480"/>
        <w:snapToGrid w:val="1"/>
        <w:spacing w:lineRule="auto" w:line="360"/>
        <w:rPr>
          <w:rFonts w:ascii="宋体" w:hAnsi="宋体"/>
          <w:bCs/>
          <w:sz w:val="24"/>
        </w:rPr>
      </w:pPr>
      <w:r>
        <w:rPr>
          <w:rFonts w:ascii="宋体" w:hAnsi="宋体"/>
          <w:bCs/>
          <w:sz w:val="24"/>
        </w:rPr>
        <w:t xml:space="preserve">（4）按照规定要求召开集合计划份额持有人大会或者召集集合计划份额持有人大会；</w:t>
      </w:r>
      <w:r/>
    </w:p>
    <w:p>
      <w:pPr>
        <w:pStyle w:val="369"/>
        <w:ind w:firstLine="480"/>
        <w:snapToGrid w:val="1"/>
        <w:spacing w:lineRule="auto" w:line="360"/>
        <w:rPr>
          <w:rFonts w:ascii="宋体" w:hAnsi="宋体"/>
          <w:bCs/>
          <w:sz w:val="24"/>
        </w:rPr>
      </w:pPr>
      <w:r>
        <w:rPr>
          <w:rFonts w:ascii="宋体" w:hAnsi="宋体"/>
          <w:bCs/>
          <w:sz w:val="24"/>
        </w:rPr>
        <w:t xml:space="preserve">（5）出席或者委派代表出席集合计划份额持有人大会，对集合计划份额持有人大会审议事项行使表决权；</w:t>
      </w:r>
      <w:r/>
    </w:p>
    <w:p>
      <w:pPr>
        <w:pStyle w:val="369"/>
        <w:ind w:firstLine="480"/>
        <w:snapToGrid w:val="1"/>
        <w:spacing w:lineRule="auto" w:line="360"/>
        <w:rPr>
          <w:rFonts w:ascii="宋体" w:hAnsi="宋体"/>
          <w:bCs/>
          <w:sz w:val="24"/>
        </w:rPr>
      </w:pPr>
      <w:r>
        <w:rPr>
          <w:rFonts w:ascii="宋体" w:hAnsi="宋体"/>
          <w:bCs/>
          <w:sz w:val="24"/>
        </w:rPr>
        <w:t xml:space="preserve">（6）查阅或者复制公开披露的</w:t>
      </w:r>
      <w:r>
        <w:rPr>
          <w:rFonts w:ascii="宋体" w:hAnsi="宋体"/>
          <w:bCs/>
          <w:sz w:val="24"/>
        </w:rPr>
        <w:t xml:space="preserve">集合计划</w:t>
      </w:r>
      <w:r>
        <w:rPr>
          <w:rFonts w:ascii="宋体" w:hAnsi="宋体"/>
          <w:bCs/>
          <w:sz w:val="24"/>
        </w:rPr>
        <w:t xml:space="preserve">信息资料；</w:t>
      </w:r>
      <w:r/>
    </w:p>
    <w:p>
      <w:pPr>
        <w:pStyle w:val="369"/>
        <w:ind w:firstLine="480"/>
        <w:snapToGrid w:val="1"/>
        <w:spacing w:lineRule="auto" w:line="360"/>
        <w:rPr>
          <w:rFonts w:ascii="宋体" w:hAnsi="宋体"/>
          <w:bCs/>
          <w:sz w:val="24"/>
        </w:rPr>
      </w:pPr>
      <w:r>
        <w:rPr>
          <w:rFonts w:ascii="宋体" w:hAnsi="宋体"/>
          <w:bCs/>
          <w:sz w:val="24"/>
        </w:rPr>
        <w:t xml:space="preserve">（7）监督管理人的投资运作；</w:t>
      </w:r>
      <w:r/>
    </w:p>
    <w:p>
      <w:pPr>
        <w:pStyle w:val="369"/>
        <w:ind w:firstLine="480"/>
        <w:snapToGrid w:val="1"/>
        <w:spacing w:lineRule="auto" w:line="360"/>
        <w:rPr>
          <w:rFonts w:ascii="宋体" w:hAnsi="宋体"/>
          <w:bCs/>
          <w:sz w:val="24"/>
        </w:rPr>
      </w:pPr>
      <w:r>
        <w:rPr>
          <w:rFonts w:ascii="宋体" w:hAnsi="宋体"/>
          <w:bCs/>
          <w:sz w:val="24"/>
        </w:rPr>
        <w:t xml:space="preserve">（8）对管理人、托管人、</w:t>
      </w:r>
      <w:r>
        <w:rPr>
          <w:rFonts w:ascii="宋体" w:hAnsi="宋体"/>
          <w:bCs/>
          <w:sz w:val="24"/>
        </w:rPr>
        <w:t xml:space="preserve">集合计划服务</w:t>
      </w:r>
      <w:r>
        <w:rPr>
          <w:rFonts w:ascii="宋体" w:hAnsi="宋体"/>
          <w:bCs/>
          <w:sz w:val="24"/>
        </w:rPr>
        <w:t xml:space="preserve">机构损害其合法权益的行为依法提起诉讼或仲裁；</w:t>
      </w:r>
      <w:r/>
    </w:p>
    <w:p>
      <w:pPr>
        <w:pStyle w:val="369"/>
        <w:ind w:firstLine="480"/>
        <w:snapToGrid w:val="1"/>
        <w:spacing w:lineRule="auto" w:line="360"/>
        <w:rPr>
          <w:rFonts w:ascii="宋体" w:hAnsi="宋体"/>
          <w:bCs/>
          <w:sz w:val="24"/>
        </w:rPr>
      </w:pPr>
      <w:r>
        <w:rPr>
          <w:rFonts w:ascii="宋体" w:hAnsi="宋体"/>
          <w:bCs/>
          <w:sz w:val="24"/>
        </w:rPr>
        <w:t xml:space="preserve">（9）法律法规及中国证监会规定的和《集</w:t>
      </w:r>
      <w:r>
        <w:rPr>
          <w:rFonts w:ascii="宋体" w:hAnsi="宋体"/>
          <w:bCs/>
          <w:sz w:val="24"/>
        </w:rPr>
        <w:t xml:space="preserve">合计划合同》约定的其他权利。</w:t>
      </w:r>
      <w:r/>
    </w:p>
    <w:p>
      <w:pPr>
        <w:pStyle w:val="369"/>
        <w:ind w:firstLine="480"/>
        <w:snapToGrid w:val="1"/>
        <w:spacing w:lineRule="auto" w:line="360"/>
        <w:rPr>
          <w:rFonts w:ascii="宋体" w:hAnsi="宋体"/>
          <w:bCs/>
          <w:sz w:val="24"/>
        </w:rPr>
      </w:pPr>
      <w:r>
        <w:rPr>
          <w:rFonts w:ascii="宋体" w:hAnsi="宋体"/>
          <w:bCs/>
          <w:sz w:val="24"/>
        </w:rPr>
        <w:t xml:space="preserve">2、根据《基金法》、《运作办法》及其他有关规定，集合计划份额持有人的义务包括但不限于：</w:t>
      </w:r>
      <w:r/>
    </w:p>
    <w:p>
      <w:pPr>
        <w:pStyle w:val="369"/>
        <w:ind w:firstLine="480"/>
        <w:snapToGrid w:val="1"/>
        <w:spacing w:lineRule="auto" w:line="360"/>
        <w:rPr>
          <w:rFonts w:ascii="宋体" w:hAnsi="宋体"/>
          <w:bCs/>
          <w:sz w:val="24"/>
        </w:rPr>
      </w:pPr>
      <w:r>
        <w:rPr>
          <w:rFonts w:ascii="宋体" w:hAnsi="宋体"/>
          <w:bCs/>
          <w:sz w:val="24"/>
        </w:rPr>
        <w:t xml:space="preserve">（1）认真阅读并遵守《集合计划合同》</w:t>
      </w:r>
      <w:r>
        <w:rPr>
          <w:rFonts w:ascii="宋体" w:hAnsi="宋体"/>
          <w:bCs/>
          <w:sz w:val="24"/>
        </w:rPr>
        <w:t xml:space="preserve">、招募说明书等信息披露文件</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（2）了解所投资</w:t>
      </w:r>
      <w:r>
        <w:rPr>
          <w:rFonts w:ascii="宋体" w:hAnsi="宋体"/>
          <w:bCs/>
          <w:sz w:val="24"/>
        </w:rPr>
        <w:t xml:space="preserve">集合计划</w:t>
      </w:r>
      <w:r>
        <w:rPr>
          <w:rFonts w:ascii="宋体" w:hAnsi="宋体"/>
          <w:bCs/>
          <w:sz w:val="24"/>
        </w:rPr>
        <w:t xml:space="preserve">产品，了解自身风险承受能力，自主判断</w:t>
      </w:r>
      <w:r>
        <w:rPr>
          <w:rFonts w:ascii="宋体" w:hAnsi="宋体"/>
          <w:bCs/>
          <w:sz w:val="24"/>
        </w:rPr>
        <w:t xml:space="preserve">集合计划</w:t>
      </w:r>
      <w:r>
        <w:rPr>
          <w:rFonts w:ascii="宋体" w:hAnsi="宋体"/>
          <w:bCs/>
          <w:sz w:val="24"/>
        </w:rPr>
        <w:t xml:space="preserve">的投资价值，自主做出投资决策，自行承担投资风险；</w:t>
      </w:r>
      <w:r/>
    </w:p>
    <w:p>
      <w:pPr>
        <w:pStyle w:val="369"/>
        <w:ind w:firstLine="480"/>
        <w:snapToGrid w:val="1"/>
        <w:spacing w:lineRule="auto" w:line="360"/>
        <w:rPr>
          <w:rFonts w:ascii="宋体" w:hAnsi="宋体"/>
          <w:bCs/>
          <w:sz w:val="24"/>
        </w:rPr>
      </w:pPr>
      <w:r>
        <w:rPr>
          <w:rFonts w:ascii="宋体" w:hAnsi="宋体"/>
          <w:bCs/>
          <w:sz w:val="24"/>
        </w:rPr>
        <w:t xml:space="preserve">（3）关注</w:t>
      </w:r>
      <w:r>
        <w:rPr>
          <w:rFonts w:ascii="宋体" w:hAnsi="宋体"/>
          <w:bCs/>
          <w:sz w:val="24"/>
        </w:rPr>
        <w:t xml:space="preserve">集合计划</w:t>
      </w:r>
      <w:r>
        <w:rPr>
          <w:rFonts w:ascii="宋体" w:hAnsi="宋体"/>
          <w:bCs/>
          <w:sz w:val="24"/>
        </w:rPr>
        <w:t xml:space="preserve">信息披露，及时行使权利和履行义务；</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交纳集合计划</w:t>
      </w:r>
      <w:r>
        <w:rPr>
          <w:rFonts w:ascii="宋体" w:hAnsi="宋体"/>
          <w:bCs/>
          <w:sz w:val="24"/>
        </w:rPr>
        <w:t xml:space="preserve">申购款项及法律法规和《集合计划合同》所规定的费用；</w:t>
      </w:r>
      <w:r/>
    </w:p>
    <w:p>
      <w:pPr>
        <w:pStyle w:val="369"/>
        <w:ind w:firstLine="480"/>
        <w:snapToGrid w:val="1"/>
        <w:spacing w:lineRule="auto" w:line="360"/>
        <w:rPr>
          <w:rFonts w:ascii="宋体" w:hAnsi="宋体"/>
          <w:bCs/>
          <w:sz w:val="24"/>
        </w:rPr>
      </w:pPr>
      <w:r>
        <w:rPr>
          <w:rFonts w:ascii="宋体" w:hAnsi="宋体"/>
          <w:bCs/>
          <w:sz w:val="24"/>
        </w:rPr>
        <w:t xml:space="preserve">（5）在其持有的</w:t>
      </w:r>
      <w:r>
        <w:rPr>
          <w:rFonts w:ascii="宋体" w:hAnsi="宋体"/>
          <w:bCs/>
          <w:sz w:val="24"/>
        </w:rPr>
        <w:t xml:space="preserve">集合计划</w:t>
      </w:r>
      <w:r>
        <w:rPr>
          <w:rFonts w:ascii="宋体" w:hAnsi="宋体"/>
          <w:bCs/>
          <w:sz w:val="24"/>
        </w:rPr>
        <w:t xml:space="preserve">份额范围内，承担</w:t>
      </w:r>
      <w:r>
        <w:rPr>
          <w:rFonts w:ascii="宋体" w:hAnsi="宋体"/>
          <w:bCs/>
          <w:sz w:val="24"/>
        </w:rPr>
        <w:t xml:space="preserve">集合计划</w:t>
      </w:r>
      <w:r>
        <w:rPr>
          <w:rFonts w:ascii="宋体" w:hAnsi="宋体"/>
          <w:bCs/>
          <w:sz w:val="24"/>
        </w:rPr>
        <w:t xml:space="preserve">亏损或者《集合计划合同》终止的有限责任</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（6）不从事任何有损</w:t>
      </w:r>
      <w:r>
        <w:rPr>
          <w:rFonts w:ascii="宋体" w:hAnsi="宋体"/>
          <w:bCs/>
          <w:sz w:val="24"/>
        </w:rPr>
        <w:t xml:space="preserve">集合计划</w:t>
      </w:r>
      <w:r>
        <w:rPr>
          <w:rFonts w:ascii="宋体" w:hAnsi="宋体"/>
          <w:bCs/>
          <w:sz w:val="24"/>
        </w:rPr>
        <w:t xml:space="preserve">及其他《集合计划合同》当事人合法权益的活动；</w:t>
      </w:r>
      <w:r/>
    </w:p>
    <w:p>
      <w:pPr>
        <w:pStyle w:val="369"/>
        <w:ind w:firstLine="480"/>
        <w:snapToGrid w:val="1"/>
        <w:spacing w:lineRule="auto" w:line="360"/>
        <w:rPr>
          <w:rFonts w:ascii="宋体" w:hAnsi="宋体"/>
          <w:bCs/>
          <w:sz w:val="24"/>
        </w:rPr>
      </w:pPr>
      <w:r>
        <w:rPr>
          <w:rFonts w:ascii="宋体" w:hAnsi="宋体"/>
          <w:bCs/>
          <w:sz w:val="24"/>
        </w:rPr>
        <w:t xml:space="preserve">（7）执行生效的集合计划份额持有人大会的</w:t>
      </w:r>
      <w:r>
        <w:rPr>
          <w:rFonts w:ascii="宋体" w:hAnsi="宋体"/>
          <w:bCs/>
          <w:sz w:val="24"/>
        </w:rPr>
        <w:t xml:space="preserve">决议</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（8）返还在</w:t>
      </w:r>
      <w:r>
        <w:rPr>
          <w:rFonts w:ascii="宋体" w:hAnsi="宋体"/>
          <w:bCs/>
          <w:sz w:val="24"/>
        </w:rPr>
        <w:t xml:space="preserve">集合计划</w:t>
      </w:r>
      <w:r>
        <w:rPr>
          <w:rFonts w:ascii="宋体" w:hAnsi="宋体"/>
          <w:bCs/>
          <w:sz w:val="24"/>
        </w:rPr>
        <w:t xml:space="preserve">交易过程中因任何原因获得的不当得利；</w:t>
      </w:r>
      <w:r/>
    </w:p>
    <w:p>
      <w:pPr>
        <w:pStyle w:val="369"/>
        <w:ind w:firstLine="480"/>
        <w:snapToGrid w:val="1"/>
        <w:spacing w:lineRule="auto" w:line="360"/>
        <w:rPr>
          <w:rFonts w:ascii="宋体" w:hAnsi="宋体"/>
          <w:bCs/>
          <w:sz w:val="24"/>
        </w:rPr>
      </w:pPr>
      <w:r>
        <w:rPr>
          <w:rFonts w:ascii="宋体" w:hAnsi="宋体"/>
          <w:bCs/>
          <w:sz w:val="24"/>
        </w:rPr>
        <w:t xml:space="preserve">（9）</w:t>
      </w:r>
      <w:r>
        <w:rPr>
          <w:rFonts w:ascii="宋体" w:hAnsi="宋体"/>
          <w:bCs/>
          <w:sz w:val="24"/>
        </w:rPr>
        <w:t xml:space="preserve">法律法规及中国证监会规定的和《集合计划合同》约定的其他义务。</w:t>
      </w:r>
      <w:r/>
    </w:p>
    <w:p>
      <w:pPr>
        <w:pStyle w:val="369"/>
        <w:ind w:firstLine="480"/>
        <w:snapToGrid w:val="1"/>
        <w:spacing w:lineRule="auto" w:line="360"/>
        <w:rPr>
          <w:rFonts w:ascii="宋体" w:hAnsi="宋体"/>
          <w:bCs/>
          <w:sz w:val="24"/>
        </w:rPr>
      </w:pPr>
      <w:r>
        <w:rPr>
          <w:rFonts w:ascii="宋体" w:hAnsi="宋体"/>
          <w:bCs/>
          <w:sz w:val="24"/>
        </w:rPr>
        <w:t xml:space="preserve">二、集合计划份额持有人大会召集、议事及表决的程序和规则</w:t>
      </w:r>
      <w:r/>
    </w:p>
    <w:p>
      <w:pPr>
        <w:pStyle w:val="369"/>
        <w:ind w:firstLine="480"/>
        <w:snapToGrid w:val="1"/>
        <w:spacing w:lineRule="auto" w:line="360"/>
        <w:rPr>
          <w:rFonts w:ascii="宋体" w:hAnsi="宋体"/>
          <w:bCs/>
          <w:sz w:val="24"/>
        </w:rPr>
      </w:pPr>
      <w:r>
        <w:rPr>
          <w:rFonts w:ascii="宋体" w:hAnsi="宋体"/>
          <w:bCs/>
          <w:sz w:val="24"/>
        </w:rPr>
        <w:t xml:space="preserve">集合计划份额持有人大会由集合计划份额持有人组成，集合计划份额持有人的合法授权代表有权代表集合计划份额持有人出席会议并表决。集合计划份额持有人持有的每一</w:t>
      </w:r>
      <w:r>
        <w:rPr>
          <w:rFonts w:ascii="宋体" w:hAnsi="宋体"/>
          <w:bCs/>
          <w:sz w:val="24"/>
        </w:rPr>
        <w:t xml:space="preserve">集合计划</w:t>
      </w:r>
      <w:r>
        <w:rPr>
          <w:rFonts w:ascii="宋体" w:hAnsi="宋体"/>
          <w:bCs/>
          <w:sz w:val="24"/>
        </w:rPr>
        <w:t xml:space="preserve">份额拥有平等的投票权。</w:t>
      </w:r>
      <w:r/>
    </w:p>
    <w:p>
      <w:pPr>
        <w:pStyle w:val="369"/>
        <w:ind w:firstLine="480"/>
        <w:snapToGrid w:val="1"/>
        <w:spacing w:lineRule="auto" w:line="360"/>
        <w:rPr>
          <w:rFonts w:ascii="宋体" w:hAnsi="宋体"/>
          <w:bCs/>
          <w:sz w:val="24"/>
        </w:rPr>
      </w:pPr>
      <w:r>
        <w:rPr>
          <w:rFonts w:ascii="宋体" w:hAnsi="宋体"/>
          <w:bCs/>
          <w:sz w:val="24"/>
        </w:rPr>
        <w:t xml:space="preserve">本</w:t>
      </w:r>
      <w:r>
        <w:rPr>
          <w:rFonts w:ascii="宋体" w:hAnsi="宋体"/>
          <w:bCs/>
          <w:sz w:val="24"/>
        </w:rPr>
        <w:t xml:space="preserve">集合计划</w:t>
      </w:r>
      <w:r>
        <w:rPr>
          <w:rFonts w:ascii="宋体" w:hAnsi="宋体"/>
          <w:bCs/>
          <w:sz w:val="24"/>
        </w:rPr>
        <w:t xml:space="preserve">份额持有人大</w:t>
      </w:r>
      <w:r>
        <w:rPr>
          <w:rFonts w:ascii="宋体" w:hAnsi="宋体"/>
          <w:bCs/>
          <w:sz w:val="24"/>
        </w:rPr>
        <w:t xml:space="preserve">会不设日常机构。在本集合计划存续期内，根据本集合计划的运作需要，集合计划份额持有人大会可以设立日常机构，日常机构的设立与运作应当根据相关法律法规和中国证监会的规定进行。</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一</w:t>
      </w:r>
      <w:r>
        <w:rPr>
          <w:rFonts w:ascii="宋体" w:hAnsi="宋体"/>
          <w:bCs/>
          <w:sz w:val="24"/>
        </w:rPr>
        <w:t xml:space="preserve">）召开事由</w:t>
      </w:r>
      <w:r/>
    </w:p>
    <w:p>
      <w:pPr>
        <w:pStyle w:val="369"/>
        <w:ind w:firstLine="480"/>
        <w:snapToGrid w:val="1"/>
        <w:spacing w:lineRule="auto" w:line="360"/>
        <w:rPr>
          <w:rFonts w:ascii="宋体" w:hAnsi="宋体"/>
          <w:bCs/>
          <w:sz w:val="24"/>
        </w:rPr>
      </w:pPr>
      <w:r>
        <w:rPr>
          <w:rFonts w:ascii="宋体" w:hAnsi="宋体"/>
          <w:bCs/>
          <w:sz w:val="24"/>
        </w:rPr>
        <w:t xml:space="preserve">1、当出现或需要决定下列事由之一的，应当召开集合计划份额持有人大会</w:t>
      </w:r>
      <w:r>
        <w:rPr>
          <w:rFonts w:ascii="宋体" w:hAnsi="宋体"/>
          <w:bCs/>
          <w:sz w:val="24"/>
        </w:rPr>
        <w:t xml:space="preserve">，但法律法规另有规定或本合同另有约定的除外</w:t>
      </w:r>
      <w:r>
        <w:rPr>
          <w:rFonts w:ascii="宋体" w:hAnsi="宋体"/>
          <w:bCs/>
          <w:sz w:val="24"/>
        </w:rPr>
        <w:t xml:space="preserve">：</w:t>
      </w:r>
      <w:r/>
    </w:p>
    <w:p>
      <w:pPr>
        <w:pStyle w:val="369"/>
        <w:ind w:firstLine="480"/>
        <w:snapToGrid w:val="1"/>
        <w:spacing w:lineRule="atLeast" w:line="440"/>
        <w:rPr>
          <w:rFonts w:ascii="宋体" w:hAnsi="宋体"/>
          <w:bCs/>
          <w:sz w:val="24"/>
        </w:rPr>
      </w:pPr>
      <w:r>
        <w:rPr>
          <w:rFonts w:ascii="宋体" w:hAnsi="宋体"/>
          <w:bCs/>
          <w:sz w:val="24"/>
        </w:rPr>
        <w:t xml:space="preserve">（1）终止《集合计划合同》；</w:t>
      </w:r>
      <w:r/>
    </w:p>
    <w:p>
      <w:pPr>
        <w:pStyle w:val="369"/>
        <w:ind w:firstLine="480"/>
        <w:snapToGrid w:val="1"/>
        <w:spacing w:lineRule="atLeast" w:line="440"/>
        <w:rPr>
          <w:rFonts w:ascii="宋体" w:hAnsi="宋体"/>
          <w:bCs/>
          <w:sz w:val="24"/>
        </w:rPr>
      </w:pPr>
      <w:r>
        <w:rPr>
          <w:rFonts w:ascii="宋体" w:hAnsi="宋体"/>
          <w:bCs/>
          <w:sz w:val="24"/>
        </w:rPr>
        <w:t xml:space="preserve">（2）更换管理人；</w:t>
      </w:r>
      <w:r/>
    </w:p>
    <w:p>
      <w:pPr>
        <w:pStyle w:val="369"/>
        <w:ind w:firstLine="480"/>
        <w:snapToGrid w:val="1"/>
        <w:spacing w:lineRule="atLeast" w:line="440"/>
        <w:rPr>
          <w:rFonts w:ascii="宋体" w:hAnsi="宋体"/>
          <w:bCs/>
          <w:sz w:val="24"/>
        </w:rPr>
      </w:pPr>
      <w:r>
        <w:rPr>
          <w:rFonts w:ascii="宋体" w:hAnsi="宋体"/>
          <w:bCs/>
          <w:sz w:val="24"/>
        </w:rPr>
        <w:t xml:space="preserve">（3）更换托管人；</w:t>
      </w:r>
      <w:r/>
    </w:p>
    <w:p>
      <w:pPr>
        <w:pStyle w:val="369"/>
        <w:ind w:firstLine="480"/>
        <w:snapToGrid w:val="1"/>
        <w:spacing w:lineRule="atLeast" w:line="440"/>
        <w:rPr>
          <w:rFonts w:ascii="宋体" w:hAnsi="宋体"/>
          <w:bCs/>
          <w:sz w:val="24"/>
        </w:rPr>
      </w:pPr>
      <w:r>
        <w:rPr>
          <w:rFonts w:ascii="宋体" w:hAnsi="宋体"/>
          <w:bCs/>
          <w:sz w:val="24"/>
        </w:rPr>
        <w:t xml:space="preserve">（4）转换</w:t>
      </w:r>
      <w:r>
        <w:rPr>
          <w:rFonts w:ascii="宋体" w:hAnsi="宋体"/>
          <w:bCs/>
          <w:sz w:val="24"/>
        </w:rPr>
        <w:t xml:space="preserve">集合计划</w:t>
      </w:r>
      <w:r>
        <w:rPr>
          <w:rFonts w:ascii="宋体" w:hAnsi="宋体"/>
          <w:bCs/>
          <w:sz w:val="24"/>
        </w:rPr>
        <w:t xml:space="preserve">运作方式；</w:t>
      </w:r>
      <w:r/>
    </w:p>
    <w:p>
      <w:pPr>
        <w:pStyle w:val="369"/>
        <w:ind w:firstLine="480"/>
        <w:snapToGrid w:val="1"/>
        <w:spacing w:lineRule="atLeast" w:line="440"/>
        <w:rPr>
          <w:rFonts w:ascii="宋体" w:hAnsi="宋体"/>
          <w:bCs/>
          <w:sz w:val="24"/>
        </w:rPr>
      </w:pPr>
      <w:r>
        <w:rPr>
          <w:rFonts w:ascii="宋体" w:hAnsi="宋体"/>
          <w:bCs/>
          <w:sz w:val="24"/>
        </w:rPr>
        <w:t xml:space="preserve">（5）</w:t>
      </w:r>
      <w:r>
        <w:rPr>
          <w:rFonts w:ascii="宋体" w:hAnsi="宋体"/>
          <w:bCs/>
          <w:sz w:val="24"/>
        </w:rPr>
        <w:t xml:space="preserve">调整</w:t>
      </w:r>
      <w:r>
        <w:rPr>
          <w:rFonts w:ascii="宋体" w:hAnsi="宋体"/>
          <w:bCs/>
          <w:sz w:val="24"/>
        </w:rPr>
        <w:t xml:space="preserve">管理人、托管人的报酬标准；</w:t>
      </w:r>
      <w:r/>
    </w:p>
    <w:p>
      <w:pPr>
        <w:pStyle w:val="369"/>
        <w:ind w:firstLine="480"/>
        <w:snapToGrid w:val="1"/>
        <w:spacing w:lineRule="atLeast" w:line="440"/>
        <w:rPr>
          <w:rFonts w:ascii="宋体" w:hAnsi="宋体"/>
          <w:bCs/>
          <w:sz w:val="24"/>
        </w:rPr>
      </w:pPr>
      <w:r>
        <w:rPr>
          <w:rFonts w:ascii="宋体" w:hAnsi="宋体"/>
          <w:bCs/>
          <w:sz w:val="24"/>
        </w:rPr>
        <w:t xml:space="preserve">（6）变更</w:t>
      </w:r>
      <w:r>
        <w:rPr>
          <w:rFonts w:ascii="宋体" w:hAnsi="宋体"/>
          <w:bCs/>
          <w:sz w:val="24"/>
        </w:rPr>
        <w:t xml:space="preserve">集合计划</w:t>
      </w:r>
      <w:r>
        <w:rPr>
          <w:rFonts w:ascii="宋体" w:hAnsi="宋体"/>
          <w:bCs/>
          <w:sz w:val="24"/>
        </w:rPr>
        <w:t xml:space="preserve">类别；</w:t>
      </w:r>
      <w:r/>
    </w:p>
    <w:p>
      <w:pPr>
        <w:pStyle w:val="369"/>
        <w:ind w:firstLine="480"/>
        <w:snapToGrid w:val="1"/>
        <w:spacing w:lineRule="atLeast" w:line="440"/>
        <w:rPr>
          <w:rFonts w:ascii="宋体" w:hAnsi="宋体"/>
          <w:bCs/>
          <w:sz w:val="24"/>
        </w:rPr>
      </w:pPr>
      <w:r>
        <w:rPr>
          <w:rFonts w:ascii="宋体" w:hAnsi="宋体"/>
          <w:bCs/>
          <w:sz w:val="24"/>
        </w:rPr>
        <w:t xml:space="preserve">（7）本集合计划与其他</w:t>
      </w:r>
      <w:r>
        <w:rPr>
          <w:rFonts w:ascii="宋体" w:hAnsi="宋体"/>
          <w:bCs/>
          <w:sz w:val="24"/>
        </w:rPr>
        <w:t xml:space="preserve">集合资产管理计划</w:t>
      </w:r>
      <w:r>
        <w:rPr>
          <w:rFonts w:ascii="宋体" w:hAnsi="宋体"/>
          <w:bCs/>
          <w:sz w:val="24"/>
        </w:rPr>
        <w:t xml:space="preserve">的合并；</w:t>
      </w:r>
      <w:r/>
    </w:p>
    <w:p>
      <w:pPr>
        <w:pStyle w:val="369"/>
        <w:ind w:firstLine="480"/>
        <w:snapToGrid w:val="1"/>
        <w:spacing w:lineRule="atLeast" w:line="440"/>
        <w:rPr>
          <w:rFonts w:ascii="宋体" w:hAnsi="宋体"/>
          <w:bCs/>
          <w:sz w:val="24"/>
        </w:rPr>
      </w:pPr>
      <w:r>
        <w:rPr>
          <w:rFonts w:ascii="宋体" w:hAnsi="宋体"/>
          <w:bCs/>
          <w:sz w:val="24"/>
        </w:rPr>
        <w:t xml:space="preserve">（</w:t>
      </w:r>
      <w:r>
        <w:rPr>
          <w:rFonts w:ascii="宋体" w:hAnsi="宋体"/>
          <w:bCs/>
          <w:sz w:val="24"/>
        </w:rPr>
        <w:t xml:space="preserve">8）变更</w:t>
      </w:r>
      <w:r>
        <w:rPr>
          <w:rFonts w:ascii="宋体" w:hAnsi="宋体"/>
          <w:bCs/>
          <w:sz w:val="24"/>
        </w:rPr>
        <w:t xml:space="preserve">集合计划</w:t>
      </w:r>
      <w:r>
        <w:rPr>
          <w:rFonts w:ascii="宋体" w:hAnsi="宋体"/>
          <w:bCs/>
          <w:sz w:val="24"/>
        </w:rPr>
        <w:t xml:space="preserve">投资目标、范围或策略；</w:t>
      </w:r>
      <w:r/>
    </w:p>
    <w:p>
      <w:pPr>
        <w:pStyle w:val="369"/>
        <w:ind w:firstLine="480"/>
        <w:snapToGrid w:val="1"/>
        <w:spacing w:lineRule="atLeast" w:line="440"/>
        <w:rPr>
          <w:rFonts w:ascii="宋体" w:hAnsi="宋体"/>
          <w:bCs/>
          <w:sz w:val="24"/>
        </w:rPr>
      </w:pPr>
      <w:r>
        <w:rPr>
          <w:rFonts w:ascii="宋体" w:hAnsi="宋体"/>
          <w:bCs/>
          <w:sz w:val="24"/>
        </w:rPr>
        <w:t xml:space="preserve">（9）变更集合计划份额持有人大会程序；</w:t>
      </w:r>
      <w:r/>
    </w:p>
    <w:p>
      <w:pPr>
        <w:pStyle w:val="369"/>
        <w:ind w:firstLine="480"/>
        <w:snapToGrid w:val="1"/>
        <w:spacing w:lineRule="atLeast" w:line="440"/>
        <w:rPr>
          <w:rFonts w:ascii="宋体" w:hAnsi="宋体"/>
          <w:bCs/>
          <w:sz w:val="24"/>
        </w:rPr>
      </w:pPr>
      <w:r>
        <w:rPr>
          <w:rFonts w:ascii="宋体" w:hAnsi="宋体"/>
          <w:bCs/>
          <w:sz w:val="24"/>
        </w:rPr>
        <w:t xml:space="preserve">（10）管理人或托管人要求召开集合计划份额持有人大会；</w:t>
      </w:r>
      <w:r/>
    </w:p>
    <w:p>
      <w:pPr>
        <w:pStyle w:val="369"/>
        <w:ind w:firstLine="480"/>
        <w:snapToGrid w:val="1"/>
        <w:spacing w:lineRule="atLeast" w:line="440"/>
        <w:rPr>
          <w:rFonts w:ascii="宋体" w:hAnsi="宋体"/>
          <w:bCs/>
          <w:sz w:val="24"/>
        </w:rPr>
      </w:pPr>
      <w:r>
        <w:rPr>
          <w:rFonts w:ascii="宋体" w:hAnsi="宋体"/>
          <w:bCs/>
          <w:sz w:val="24"/>
        </w:rPr>
        <w:t xml:space="preserve">（11）单独或合计持有本集合计划总份额10%以上（含10%）</w:t>
      </w:r>
      <w:r>
        <w:rPr>
          <w:rFonts w:ascii="宋体" w:hAnsi="宋体"/>
          <w:bCs/>
          <w:sz w:val="24"/>
        </w:rPr>
        <w:t xml:space="preserve">集合计划</w:t>
      </w:r>
      <w:r>
        <w:rPr>
          <w:rFonts w:ascii="宋体" w:hAnsi="宋体"/>
          <w:bCs/>
          <w:sz w:val="24"/>
        </w:rPr>
        <w:t xml:space="preserve">份额的集合计划份额持有人（以管理人</w:t>
      </w:r>
      <w:r>
        <w:rPr>
          <w:rFonts w:ascii="宋体" w:hAnsi="宋体"/>
          <w:bCs/>
          <w:sz w:val="24"/>
        </w:rPr>
        <w:t xml:space="preserve">或托管人</w:t>
      </w:r>
      <w:r>
        <w:rPr>
          <w:rFonts w:ascii="宋体" w:hAnsi="宋体"/>
          <w:bCs/>
          <w:sz w:val="24"/>
        </w:rPr>
        <w:t xml:space="preserve">收到提议当日的</w:t>
      </w:r>
      <w:r>
        <w:rPr>
          <w:rFonts w:ascii="宋体" w:hAnsi="宋体"/>
          <w:bCs/>
          <w:sz w:val="24"/>
        </w:rPr>
        <w:t xml:space="preserve">集合计划</w:t>
      </w:r>
      <w:r>
        <w:rPr>
          <w:rFonts w:ascii="宋体" w:hAnsi="宋体"/>
          <w:bCs/>
          <w:sz w:val="24"/>
        </w:rPr>
        <w:t xml:space="preserve">份额计算，下同）就同一事项书面要求召开集合计划份额持有人大会；</w:t>
      </w:r>
      <w:r/>
    </w:p>
    <w:p>
      <w:pPr>
        <w:pStyle w:val="369"/>
        <w:ind w:firstLine="480"/>
        <w:snapToGrid w:val="1"/>
        <w:spacing w:lineRule="atLeast" w:line="440"/>
        <w:rPr>
          <w:rFonts w:ascii="宋体" w:hAnsi="宋体"/>
          <w:bCs/>
          <w:sz w:val="24"/>
        </w:rPr>
      </w:pPr>
      <w:r>
        <w:rPr>
          <w:rFonts w:ascii="宋体" w:hAnsi="宋体"/>
          <w:bCs/>
          <w:sz w:val="24"/>
        </w:rPr>
        <w:t xml:space="preserve">（12）对本合同当事人权利和义务产生重大影响的其他事项；</w:t>
      </w:r>
      <w:r/>
    </w:p>
    <w:p>
      <w:pPr>
        <w:pStyle w:val="369"/>
        <w:ind w:firstLine="480"/>
        <w:snapToGrid w:val="1"/>
        <w:spacing w:lineRule="atLeast" w:line="440"/>
        <w:rPr>
          <w:rFonts w:ascii="宋体" w:hAnsi="宋体"/>
          <w:bCs/>
          <w:sz w:val="24"/>
        </w:rPr>
      </w:pPr>
      <w:r>
        <w:rPr>
          <w:rFonts w:ascii="宋体" w:hAnsi="宋体"/>
          <w:bCs/>
          <w:sz w:val="24"/>
        </w:rPr>
        <w:t xml:space="preserve">（13）法律法规、《集合计划合同》或中国证监会规定的其他应当召开集合计划份额持有人大会的事项。</w:t>
      </w:r>
      <w:r/>
    </w:p>
    <w:p>
      <w:pPr>
        <w:pStyle w:val="369"/>
        <w:ind w:firstLine="480"/>
        <w:snapToGrid w:val="1"/>
        <w:spacing w:lineRule="auto" w:line="360"/>
        <w:rPr>
          <w:rFonts w:ascii="宋体" w:hAnsi="宋体"/>
          <w:bCs/>
          <w:sz w:val="24"/>
        </w:rPr>
      </w:pPr>
      <w:r>
        <w:rPr>
          <w:rFonts w:ascii="宋体" w:hAnsi="宋体"/>
          <w:bCs/>
          <w:sz w:val="24"/>
        </w:rPr>
        <w:t xml:space="preserve">2、在法律法规</w:t>
      </w:r>
      <w:r>
        <w:rPr>
          <w:rFonts w:ascii="宋体" w:hAnsi="宋体"/>
          <w:bCs/>
          <w:sz w:val="24"/>
        </w:rPr>
        <w:t xml:space="preserve">规定</w:t>
      </w:r>
      <w:r>
        <w:rPr>
          <w:rFonts w:ascii="宋体" w:hAnsi="宋体"/>
          <w:bCs/>
          <w:sz w:val="24"/>
        </w:rPr>
        <w:t xml:space="preserve">和《集合</w:t>
      </w:r>
      <w:r>
        <w:rPr>
          <w:rFonts w:ascii="宋体" w:hAnsi="宋体"/>
          <w:bCs/>
          <w:sz w:val="24"/>
        </w:rPr>
        <w:t xml:space="preserve">计划合同》</w:t>
      </w:r>
      <w:r>
        <w:rPr>
          <w:rFonts w:ascii="宋体" w:hAnsi="宋体"/>
          <w:bCs/>
          <w:sz w:val="24"/>
        </w:rPr>
        <w:t xml:space="preserve">约</w:t>
      </w:r>
      <w:r>
        <w:rPr>
          <w:rFonts w:ascii="宋体" w:hAnsi="宋体"/>
          <w:bCs/>
          <w:sz w:val="24"/>
        </w:rPr>
        <w:t xml:space="preserve">定的范围内且对集合计划份额持有人利益无实质性不利影响的前提下</w:t>
      </w:r>
      <w:r>
        <w:rPr>
          <w:rFonts w:ascii="宋体" w:hAnsi="宋体"/>
          <w:bCs/>
          <w:sz w:val="24"/>
        </w:rPr>
        <w:t xml:space="preserve">，</w:t>
      </w:r>
      <w:r>
        <w:rPr>
          <w:rFonts w:ascii="宋体" w:hAnsi="宋体"/>
          <w:bCs/>
          <w:sz w:val="24"/>
        </w:rPr>
        <w:t xml:space="preserve">以下情况可由管理人和托管人协商后修改，不需召开集合计划份额持有人大会：</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w:t>
      </w:r>
      <w:r>
        <w:rPr>
          <w:rFonts w:ascii="宋体" w:hAnsi="宋体"/>
          <w:bCs/>
          <w:sz w:val="24"/>
        </w:rPr>
        <w:t xml:space="preserve">）法律法规要求增加或调整的</w:t>
      </w:r>
      <w:r>
        <w:rPr>
          <w:rFonts w:ascii="宋体" w:hAnsi="宋体"/>
          <w:bCs/>
          <w:sz w:val="24"/>
        </w:rPr>
        <w:t xml:space="preserve">集合计划</w:t>
      </w:r>
      <w:r>
        <w:rPr>
          <w:rFonts w:ascii="宋体" w:hAnsi="宋体"/>
          <w:bCs/>
          <w:sz w:val="24"/>
        </w:rPr>
        <w:t xml:space="preserve">费用的收取；</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w:t>
      </w:r>
      <w:r>
        <w:rPr>
          <w:rFonts w:ascii="宋体" w:hAnsi="宋体"/>
          <w:bCs/>
          <w:sz w:val="24"/>
        </w:rPr>
        <w:t xml:space="preserve">）</w:t>
      </w:r>
      <w:r>
        <w:rPr>
          <w:rFonts w:ascii="宋体" w:hAnsi="宋体"/>
          <w:bCs/>
          <w:sz w:val="24"/>
        </w:rPr>
        <w:t xml:space="preserve">增加或调整本集合计划的集合计划份额类别、对集合计划份额分类办法及规则进行调整、</w:t>
      </w:r>
      <w:r>
        <w:rPr>
          <w:rFonts w:ascii="宋体" w:hAnsi="宋体"/>
          <w:bCs/>
          <w:sz w:val="24"/>
        </w:rPr>
        <w:t xml:space="preserve">调整本集合计划的申购费率、调低赎回费率</w:t>
      </w:r>
      <w:r>
        <w:rPr>
          <w:rFonts w:ascii="宋体" w:hAnsi="宋体"/>
          <w:bCs/>
          <w:sz w:val="24"/>
        </w:rPr>
        <w:t xml:space="preserve">，或变更收费方式</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3</w:t>
      </w:r>
      <w:r>
        <w:rPr>
          <w:rFonts w:ascii="宋体" w:hAnsi="宋体"/>
          <w:bCs/>
          <w:sz w:val="24"/>
        </w:rPr>
        <w:t xml:space="preserve">）因相应的法律法规发生变动而应当对《集合计划合同》进行修改；</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4</w:t>
      </w:r>
      <w:r>
        <w:rPr>
          <w:rFonts w:ascii="宋体" w:hAnsi="宋体"/>
          <w:bCs/>
          <w:sz w:val="24"/>
        </w:rPr>
        <w:t xml:space="preserve">）对《集合计划合同》的修改对集合计划份额持有人利益无实质性不利影响或修改不涉及《集合计划合同》当事人权</w:t>
      </w:r>
      <w:r>
        <w:rPr>
          <w:rFonts w:ascii="宋体" w:hAnsi="宋体"/>
          <w:bCs/>
          <w:sz w:val="24"/>
        </w:rPr>
        <w:t xml:space="preserve">利义务关系发生变化；</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（5）管理人将本合同项下权利义务转让给其以独资或控股方式成立具有独立法人资格的从事资产管理业务的公司；</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6</w:t>
      </w:r>
      <w:r>
        <w:rPr>
          <w:rFonts w:ascii="宋体" w:hAnsi="宋体"/>
          <w:bCs/>
          <w:sz w:val="24"/>
        </w:rPr>
        <w:t xml:space="preserve">）</w:t>
      </w:r>
      <w:r>
        <w:rPr>
          <w:rFonts w:ascii="宋体" w:hAnsi="宋体"/>
          <w:bCs/>
          <w:sz w:val="24"/>
        </w:rPr>
        <w:t xml:space="preserve">按照法律法规和《集合计划合同》规定不需召开集合计划份额持有人大会的其他情形。</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二</w:t>
      </w:r>
      <w:r>
        <w:rPr>
          <w:rFonts w:ascii="宋体" w:hAnsi="宋体"/>
          <w:bCs/>
          <w:sz w:val="24"/>
        </w:rPr>
        <w:t xml:space="preserve">）会议召集人及召集方式</w:t>
      </w:r>
      <w:r/>
    </w:p>
    <w:p>
      <w:pPr>
        <w:pStyle w:val="369"/>
        <w:ind w:firstLine="480"/>
        <w:snapToGrid w:val="1"/>
        <w:spacing w:lineRule="auto" w:line="360"/>
        <w:rPr>
          <w:rFonts w:ascii="宋体" w:hAnsi="宋体"/>
          <w:bCs/>
          <w:sz w:val="24"/>
        </w:rPr>
      </w:pPr>
      <w:r>
        <w:rPr>
          <w:rFonts w:ascii="宋体" w:hAnsi="宋体"/>
          <w:bCs/>
          <w:sz w:val="24"/>
        </w:rPr>
        <w:t xml:space="preserve">1、除法律法规规定或《集合计划合同》另有约定外，集合计划份额持有人大会由管理人召集。</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2、管理人未按规定召集或不能召</w:t>
      </w:r>
      <w:r>
        <w:rPr>
          <w:rFonts w:ascii="宋体" w:hAnsi="宋体"/>
          <w:bCs/>
          <w:sz w:val="24"/>
        </w:rPr>
        <w:t xml:space="preserve">开</w:t>
      </w:r>
      <w:r>
        <w:rPr>
          <w:rFonts w:ascii="宋体" w:hAnsi="宋体"/>
          <w:bCs/>
          <w:sz w:val="24"/>
        </w:rPr>
        <w:t xml:space="preserve">时，由托管人召集。</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3、托管人认为有必要召开集合计划份额持有人大会的，应当向管理人提出书面提议。管理人应当自收到书面提议之日起 </w:t>
      </w:r>
      <w:r>
        <w:rPr>
          <w:rFonts w:ascii="宋体" w:hAnsi="宋体"/>
          <w:bCs/>
          <w:sz w:val="24"/>
        </w:rPr>
        <w:t xml:space="preserve">10</w:t>
      </w:r>
      <w:r>
        <w:rPr>
          <w:rFonts w:ascii="宋体" w:hAnsi="宋体"/>
          <w:bCs/>
          <w:sz w:val="24"/>
        </w:rPr>
        <w:t xml:space="preserve">日内决定是否召集，并书面</w:t>
      </w:r>
      <w:r>
        <w:rPr>
          <w:rFonts w:ascii="宋体" w:hAnsi="宋体"/>
          <w:bCs/>
          <w:sz w:val="24"/>
        </w:rPr>
        <w:t xml:space="preserve">告知托管人。管理人决定召集的，应当自出具书面决定之日起</w:t>
      </w:r>
      <w:r>
        <w:rPr>
          <w:rFonts w:ascii="宋体" w:hAnsi="宋体"/>
          <w:bCs/>
          <w:sz w:val="24"/>
        </w:rPr>
        <w:t xml:space="preserve">60</w:t>
      </w:r>
      <w:r>
        <w:rPr>
          <w:rFonts w:ascii="宋体" w:hAnsi="宋体"/>
          <w:bCs/>
          <w:sz w:val="24"/>
        </w:rPr>
        <w:t xml:space="preserve">日内召开；管理人决定不召集，托管人仍认为有必要召开的，应当由托管人自行召集，并自出具书面决定之日起60日内召开并告知管理人，管理人应当配合。</w:t>
      </w:r>
      <w:r/>
    </w:p>
    <w:p>
      <w:pPr>
        <w:pStyle w:val="369"/>
        <w:ind w:firstLine="480"/>
        <w:snapToGrid w:val="1"/>
        <w:spacing w:lineRule="auto" w:line="360"/>
        <w:rPr>
          <w:rFonts w:ascii="宋体" w:hAnsi="宋体"/>
          <w:bCs/>
          <w:sz w:val="24"/>
        </w:rPr>
      </w:pPr>
      <w:r>
        <w:rPr>
          <w:rFonts w:ascii="宋体" w:hAnsi="宋体"/>
          <w:bCs/>
          <w:sz w:val="24"/>
        </w:rPr>
        <w:t xml:space="preserve">4、代表</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）的集合计划份额持有人就同一事项书面要求召开集合计划份额持有人大会，应当向管理人提出书面提议。管理人应当自收到书面提议之日起</w:t>
      </w:r>
      <w:r>
        <w:rPr>
          <w:rFonts w:ascii="宋体" w:hAnsi="宋体"/>
          <w:bCs/>
          <w:sz w:val="24"/>
        </w:rPr>
        <w:t xml:space="preserve">10</w:t>
      </w:r>
      <w:r>
        <w:rPr>
          <w:rFonts w:ascii="宋体" w:hAnsi="宋体"/>
          <w:bCs/>
          <w:sz w:val="24"/>
        </w:rPr>
        <w:t xml:space="preserve">日内决定是否召集，并书面告知提出提议的集合计划份额持有人代表和托管人。管理人决定召集的，应当自出具书面决定之日起</w:t>
      </w:r>
      <w:r/>
    </w:p>
    <w:p>
      <w:pPr>
        <w:pStyle w:val="369"/>
        <w:snapToGrid w:val="1"/>
        <w:spacing w:lineRule="auto" w:line="360"/>
        <w:rPr>
          <w:rFonts w:ascii="宋体" w:hAnsi="宋体"/>
          <w:bCs/>
          <w:sz w:val="24"/>
        </w:rPr>
      </w:pPr>
      <w:r>
        <w:rPr>
          <w:rFonts w:ascii="宋体" w:hAnsi="宋体"/>
          <w:bCs/>
          <w:sz w:val="24"/>
        </w:rPr>
        <w:t xml:space="preserve">60</w:t>
      </w:r>
      <w:r>
        <w:rPr>
          <w:rFonts w:ascii="宋体" w:hAnsi="宋体"/>
          <w:bCs/>
          <w:sz w:val="24"/>
        </w:rPr>
        <w:t xml:space="preserve">日内召开；管理人决定不召集</w:t>
      </w:r>
      <w:r>
        <w:rPr>
          <w:rFonts w:ascii="宋体" w:hAnsi="宋体"/>
          <w:bCs/>
          <w:sz w:val="24"/>
        </w:rPr>
        <w:t xml:space="preserve">，代表</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）的集合计划份额持有人仍认为有必要召开的，应当向托管人提出书面提议。托管人应当自收到书面提议之日起</w:t>
      </w:r>
      <w:r>
        <w:rPr>
          <w:rFonts w:ascii="宋体" w:hAnsi="宋体"/>
          <w:bCs/>
          <w:sz w:val="24"/>
        </w:rPr>
        <w:t xml:space="preserve">10</w:t>
      </w:r>
      <w:r>
        <w:rPr>
          <w:rFonts w:ascii="宋体" w:hAnsi="宋体"/>
          <w:bCs/>
          <w:sz w:val="24"/>
        </w:rPr>
        <w:t xml:space="preserve">日内决定是否召集，并书面告知提出提议的集合计划份额持有人代表和管理人；托管人决定召集的，应当自出具书面决定之日起60日内召开。并告知管理人，管理人应当配合。</w:t>
      </w:r>
      <w:r/>
    </w:p>
    <w:p>
      <w:pPr>
        <w:pStyle w:val="369"/>
        <w:ind w:firstLine="480"/>
        <w:snapToGrid w:val="1"/>
        <w:spacing w:lineRule="auto" w:line="360"/>
        <w:rPr>
          <w:rFonts w:ascii="宋体" w:hAnsi="宋体"/>
          <w:bCs/>
          <w:sz w:val="24"/>
        </w:rPr>
      </w:pPr>
      <w:r>
        <w:rPr>
          <w:rFonts w:ascii="宋体" w:hAnsi="宋体"/>
          <w:bCs/>
          <w:sz w:val="24"/>
        </w:rPr>
        <w:t xml:space="preserve">5、代表</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）的集合计划份额持有人就同一事项要求召开集合计划份额持有人大会，而管理人、托管人都不召集的，单独或合计代表</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10%</w:t>
      </w:r>
      <w:r>
        <w:rPr>
          <w:rFonts w:ascii="宋体" w:hAnsi="宋体"/>
          <w:bCs/>
          <w:sz w:val="24"/>
        </w:rPr>
        <w:t xml:space="preserve">以上（含</w:t>
      </w:r>
      <w:r>
        <w:rPr>
          <w:rFonts w:ascii="宋体" w:hAnsi="宋体"/>
          <w:bCs/>
          <w:sz w:val="24"/>
        </w:rPr>
        <w:t xml:space="preserve">10%</w:t>
      </w:r>
      <w:r>
        <w:rPr>
          <w:rFonts w:ascii="宋体" w:hAnsi="宋体"/>
          <w:bCs/>
          <w:sz w:val="24"/>
        </w:rPr>
        <w:t xml:space="preserve">）的集合计划份额持有人有权自行召集，</w:t>
      </w:r>
      <w:r>
        <w:rPr>
          <w:rFonts w:ascii="宋体" w:hAnsi="宋体"/>
          <w:bCs/>
          <w:sz w:val="24"/>
        </w:rPr>
        <w:t xml:space="preserve">并至少提前30日报中国证监会备案。集合计划份额持有人依法自行召集集合计划份额持有人大会的，管理人、托管人应当配合，不得阻碍、干扰。</w:t>
      </w:r>
      <w:r/>
    </w:p>
    <w:p>
      <w:pPr>
        <w:pStyle w:val="369"/>
        <w:ind w:firstLine="480"/>
        <w:snapToGrid w:val="1"/>
        <w:spacing w:lineRule="auto" w:line="360"/>
        <w:rPr>
          <w:rFonts w:ascii="宋体" w:hAnsi="宋体"/>
          <w:bCs/>
          <w:sz w:val="24"/>
        </w:rPr>
      </w:pPr>
      <w:r>
        <w:rPr>
          <w:rFonts w:ascii="宋体" w:hAnsi="宋体"/>
          <w:bCs/>
          <w:sz w:val="24"/>
        </w:rPr>
        <w:t xml:space="preserve">6、集合计划份额持有人会议的召集人负责选择确定开会时间、地点、方式和权益登记日。</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三</w:t>
      </w:r>
      <w:r>
        <w:rPr>
          <w:rFonts w:ascii="宋体" w:hAnsi="宋体"/>
          <w:bCs/>
          <w:sz w:val="24"/>
        </w:rPr>
        <w:t xml:space="preserve">）召开集合计划份额持有人大会的通知时间、通知内容、通知方式</w:t>
      </w:r>
      <w:r/>
    </w:p>
    <w:p>
      <w:pPr>
        <w:pStyle w:val="369"/>
        <w:ind w:firstLine="480"/>
        <w:snapToGrid w:val="1"/>
        <w:spacing w:lineRule="auto" w:line="360"/>
        <w:rPr>
          <w:rFonts w:ascii="宋体" w:hAnsi="宋体"/>
          <w:bCs/>
          <w:sz w:val="24"/>
        </w:rPr>
      </w:pPr>
      <w:r>
        <w:rPr>
          <w:rFonts w:ascii="宋体" w:hAnsi="宋体"/>
          <w:bCs/>
          <w:sz w:val="24"/>
        </w:rPr>
        <w:t xml:space="preserve">1、召开集合计划份额持有人大会，召集人应于会议召开前</w:t>
      </w:r>
      <w:r>
        <w:rPr>
          <w:rFonts w:ascii="宋体" w:hAnsi="宋体"/>
          <w:bCs/>
          <w:sz w:val="24"/>
        </w:rPr>
        <w:t xml:space="preserve">30</w:t>
      </w:r>
      <w:r>
        <w:rPr>
          <w:rFonts w:ascii="宋体" w:hAnsi="宋体"/>
          <w:bCs/>
          <w:sz w:val="24"/>
        </w:rPr>
        <w:t xml:space="preserve">日，在规定媒介公告。集合计划份额持有人大会通知应至少载明以下内容：</w:t>
      </w:r>
      <w:r/>
    </w:p>
    <w:p>
      <w:pPr>
        <w:pStyle w:val="369"/>
        <w:ind w:firstLine="480"/>
        <w:snapToGrid w:val="1"/>
        <w:spacing w:lineRule="auto" w:line="360"/>
        <w:rPr>
          <w:rFonts w:ascii="宋体" w:hAnsi="宋体"/>
          <w:bCs/>
          <w:sz w:val="24"/>
        </w:rPr>
      </w:pPr>
      <w:r>
        <w:rPr>
          <w:rFonts w:ascii="宋体" w:hAnsi="宋体"/>
          <w:bCs/>
          <w:sz w:val="24"/>
        </w:rPr>
        <w:t xml:space="preserve">（1）会议召开的时间、地点和会议形式；</w:t>
      </w:r>
      <w:r/>
    </w:p>
    <w:p>
      <w:pPr>
        <w:pStyle w:val="369"/>
        <w:ind w:firstLine="480"/>
        <w:snapToGrid w:val="1"/>
        <w:spacing w:lineRule="auto" w:line="360"/>
        <w:rPr>
          <w:rFonts w:ascii="宋体" w:hAnsi="宋体"/>
          <w:bCs/>
          <w:sz w:val="24"/>
        </w:rPr>
      </w:pPr>
      <w:r>
        <w:rPr>
          <w:rFonts w:ascii="宋体" w:hAnsi="宋体"/>
          <w:bCs/>
          <w:sz w:val="24"/>
        </w:rPr>
        <w:t xml:space="preserve">（2）会议拟审议的事项、议事程序和表决方式；</w:t>
      </w:r>
      <w:r/>
    </w:p>
    <w:p>
      <w:pPr>
        <w:pStyle w:val="369"/>
        <w:ind w:firstLine="480"/>
        <w:snapToGrid w:val="1"/>
        <w:spacing w:lineRule="auto" w:line="360"/>
        <w:rPr>
          <w:rFonts w:ascii="宋体" w:hAnsi="宋体"/>
          <w:bCs/>
          <w:sz w:val="24"/>
        </w:rPr>
      </w:pPr>
      <w:r>
        <w:rPr>
          <w:rFonts w:ascii="宋体" w:hAnsi="宋体"/>
          <w:bCs/>
          <w:sz w:val="24"/>
        </w:rPr>
        <w:t xml:space="preserve">（3）有权出席集合计划份</w:t>
      </w:r>
      <w:r>
        <w:rPr>
          <w:rFonts w:ascii="宋体" w:hAnsi="宋体"/>
          <w:bCs/>
          <w:sz w:val="24"/>
        </w:rPr>
        <w:t xml:space="preserve">额持有人大会的集合计划份额持有人的权益登记日；</w:t>
      </w:r>
      <w:r/>
    </w:p>
    <w:p>
      <w:pPr>
        <w:pStyle w:val="369"/>
        <w:ind w:firstLine="480"/>
        <w:snapToGrid w:val="1"/>
        <w:spacing w:lineRule="auto" w:line="360"/>
        <w:rPr>
          <w:rFonts w:ascii="宋体" w:hAnsi="宋体"/>
          <w:bCs/>
          <w:sz w:val="24"/>
        </w:rPr>
      </w:pPr>
      <w:r>
        <w:rPr>
          <w:rFonts w:ascii="宋体" w:hAnsi="宋体"/>
          <w:bCs/>
          <w:sz w:val="24"/>
        </w:rPr>
        <w:t xml:space="preserve">（4）授权委托证明的内容要求（包括但不限于代理人身份，代理权限和代理有效期限等）、送达时间和地点</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（5）会务常设联系人姓名及联系电话；</w:t>
      </w:r>
      <w:r/>
    </w:p>
    <w:p>
      <w:pPr>
        <w:pStyle w:val="369"/>
        <w:ind w:firstLine="480"/>
        <w:snapToGrid w:val="1"/>
        <w:spacing w:lineRule="auto" w:line="360"/>
        <w:rPr>
          <w:rFonts w:ascii="宋体" w:hAnsi="宋体"/>
          <w:bCs/>
          <w:sz w:val="24"/>
        </w:rPr>
      </w:pPr>
      <w:r>
        <w:rPr>
          <w:rFonts w:ascii="宋体" w:hAnsi="宋体"/>
          <w:bCs/>
          <w:sz w:val="24"/>
        </w:rPr>
        <w:t xml:space="preserve">（6）出席会议者必须准备的文件和必须履行的手续；</w:t>
      </w:r>
      <w:r/>
    </w:p>
    <w:p>
      <w:pPr>
        <w:pStyle w:val="369"/>
        <w:ind w:firstLine="480"/>
        <w:snapToGrid w:val="1"/>
        <w:spacing w:lineRule="auto" w:line="360"/>
        <w:rPr>
          <w:rFonts w:ascii="宋体" w:hAnsi="宋体"/>
          <w:bCs/>
          <w:sz w:val="24"/>
        </w:rPr>
      </w:pPr>
      <w:r>
        <w:rPr>
          <w:rFonts w:ascii="宋体" w:hAnsi="宋体"/>
          <w:bCs/>
          <w:sz w:val="24"/>
        </w:rPr>
        <w:t xml:space="preserve">（7）召集人需要通知的其他事项。</w:t>
      </w:r>
      <w:r/>
    </w:p>
    <w:p>
      <w:pPr>
        <w:pStyle w:val="369"/>
        <w:ind w:firstLine="480"/>
        <w:snapToGrid w:val="1"/>
        <w:spacing w:lineRule="auto" w:line="360"/>
        <w:rPr>
          <w:rFonts w:ascii="宋体" w:hAnsi="宋体"/>
          <w:bCs/>
          <w:sz w:val="24"/>
        </w:rPr>
      </w:pPr>
      <w:r>
        <w:rPr>
          <w:rFonts w:ascii="宋体" w:hAnsi="宋体"/>
          <w:bCs/>
          <w:sz w:val="24"/>
        </w:rPr>
        <w:t xml:space="preserve">2、采取通讯开会方式并进行表决的情况下，由会议召集人决定在会议通知中说明本次集合计划份额持有人大会所采取的具体通讯方式、委托的公证机关及其联系方式和联系人、书面表决意见寄交的截止时间和收取方式。</w:t>
      </w:r>
      <w:r/>
    </w:p>
    <w:p>
      <w:pPr>
        <w:pStyle w:val="369"/>
        <w:ind w:firstLine="480"/>
        <w:snapToGrid w:val="1"/>
        <w:spacing w:lineRule="auto" w:line="360"/>
        <w:rPr>
          <w:rFonts w:ascii="宋体" w:hAnsi="宋体"/>
          <w:bCs/>
          <w:sz w:val="24"/>
        </w:rPr>
      </w:pPr>
      <w:r>
        <w:rPr>
          <w:rFonts w:ascii="宋体" w:hAnsi="宋体"/>
          <w:bCs/>
          <w:sz w:val="24"/>
        </w:rPr>
        <w:t xml:space="preserve">3、如召集人为管理人，还应另行书面通知托管人到</w:t>
      </w:r>
      <w:r>
        <w:rPr>
          <w:rFonts w:ascii="宋体" w:hAnsi="宋体"/>
          <w:bCs/>
          <w:sz w:val="24"/>
        </w:rPr>
        <w:t xml:space="preserve">指定地点对表决意见的计票进行监督；如召集人为托管人，则应另行书面通知管理人到指定地点对表决意见的计票进行监督；如召集人为集合计划份额持有人，则应另行书面通知管理人和托管人到指定地点对表决意见的计票进行监督。管理人或托管人拒不派代表对书面表决意见的计票进行监督的，不影响表决意见的计票效力。</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四</w:t>
      </w:r>
      <w:r>
        <w:rPr>
          <w:rFonts w:ascii="宋体" w:hAnsi="宋体"/>
          <w:bCs/>
          <w:sz w:val="24"/>
        </w:rPr>
        <w:t xml:space="preserve">）集合计划份额持有人出席会议的方式</w:t>
      </w:r>
      <w:r/>
    </w:p>
    <w:p>
      <w:pPr>
        <w:pStyle w:val="369"/>
        <w:ind w:firstLine="480"/>
        <w:snapToGrid w:val="1"/>
        <w:spacing w:lineRule="auto" w:line="360"/>
        <w:rPr>
          <w:rFonts w:ascii="宋体" w:hAnsi="宋体"/>
          <w:bCs/>
          <w:sz w:val="24"/>
        </w:rPr>
      </w:pPr>
      <w:r>
        <w:rPr>
          <w:rFonts w:ascii="宋体" w:hAnsi="宋体"/>
          <w:bCs/>
          <w:sz w:val="24"/>
        </w:rPr>
        <w:t xml:space="preserve">集合计划份额持有人大会可通过现场开会方式</w:t>
      </w:r>
      <w:r>
        <w:rPr>
          <w:rFonts w:ascii="宋体" w:hAnsi="宋体"/>
          <w:bCs/>
          <w:sz w:val="24"/>
        </w:rPr>
        <w:t xml:space="preserve">、</w:t>
      </w:r>
      <w:r>
        <w:rPr>
          <w:rFonts w:ascii="宋体" w:hAnsi="宋体"/>
          <w:bCs/>
          <w:sz w:val="24"/>
        </w:rPr>
        <w:t xml:space="preserve">通讯开会方式或法律法规、监管机构允许的其他方式召开，会议的召开方式由会议召集人确定。</w:t>
      </w:r>
      <w:r/>
    </w:p>
    <w:p>
      <w:pPr>
        <w:pStyle w:val="369"/>
        <w:ind w:firstLine="480"/>
        <w:snapToGrid w:val="1"/>
        <w:spacing w:lineRule="auto" w:line="360"/>
        <w:rPr>
          <w:rFonts w:ascii="宋体" w:hAnsi="宋体"/>
          <w:bCs/>
          <w:sz w:val="24"/>
        </w:rPr>
      </w:pPr>
      <w:r>
        <w:rPr>
          <w:rFonts w:ascii="宋体" w:hAnsi="宋体"/>
          <w:bCs/>
          <w:sz w:val="24"/>
        </w:rPr>
        <w:t xml:space="preserve">1、现场开会。由集合计划份额持有人本人出席或以代理投票</w:t>
      </w:r>
      <w:r>
        <w:rPr>
          <w:rFonts w:ascii="宋体" w:hAnsi="宋体"/>
          <w:bCs/>
          <w:sz w:val="24"/>
        </w:rPr>
        <w:t xml:space="preserve">授权委托证明委派代表出席，现场开会时管理人和托管人的授权代表应当列席集合计划份额持有人大会，管理人或</w:t>
      </w:r>
      <w:r>
        <w:rPr>
          <w:rFonts w:ascii="宋体" w:hAnsi="宋体"/>
          <w:bCs/>
          <w:sz w:val="24"/>
        </w:rPr>
        <w:t xml:space="preserve">托管人</w:t>
      </w:r>
      <w:r>
        <w:rPr>
          <w:rFonts w:ascii="宋体" w:hAnsi="宋体"/>
          <w:bCs/>
          <w:sz w:val="24"/>
        </w:rPr>
        <w:t xml:space="preserve">不派代表列席的，不影响表决效力。现场开会同时符合以下条件时，可以进行集合计划份额持有人大会议程：</w:t>
      </w:r>
      <w:r/>
    </w:p>
    <w:p>
      <w:pPr>
        <w:pStyle w:val="369"/>
        <w:ind w:firstLine="480"/>
        <w:snapToGrid w:val="1"/>
        <w:spacing w:lineRule="auto" w:line="360"/>
        <w:rPr>
          <w:rFonts w:ascii="宋体" w:hAnsi="宋体"/>
          <w:bCs/>
          <w:sz w:val="24"/>
        </w:rPr>
      </w:pPr>
      <w:r>
        <w:rPr>
          <w:rFonts w:ascii="宋体" w:hAnsi="宋体"/>
          <w:bCs/>
          <w:sz w:val="24"/>
        </w:rPr>
        <w:t xml:space="preserve">（1）亲自出席会议者持有</w:t>
      </w:r>
      <w:r>
        <w:rPr>
          <w:rFonts w:ascii="宋体" w:hAnsi="宋体"/>
          <w:bCs/>
          <w:sz w:val="24"/>
        </w:rPr>
        <w:t xml:space="preserve">集合计划</w:t>
      </w:r>
      <w:r>
        <w:rPr>
          <w:rFonts w:ascii="宋体" w:hAnsi="宋体"/>
          <w:bCs/>
          <w:sz w:val="24"/>
        </w:rPr>
        <w:t xml:space="preserve">份额的凭证、受托出席会议者出具的</w:t>
      </w:r>
      <w:r>
        <w:rPr>
          <w:rFonts w:ascii="宋体" w:hAnsi="宋体"/>
          <w:bCs/>
          <w:sz w:val="24"/>
        </w:rPr>
        <w:t xml:space="preserve">委托人</w:t>
      </w:r>
      <w:r>
        <w:rPr>
          <w:rFonts w:ascii="宋体" w:hAnsi="宋体"/>
          <w:bCs/>
          <w:sz w:val="24"/>
        </w:rPr>
        <w:t xml:space="preserve">持有</w:t>
      </w:r>
      <w:r>
        <w:rPr>
          <w:rFonts w:ascii="宋体" w:hAnsi="宋体"/>
          <w:bCs/>
          <w:sz w:val="24"/>
        </w:rPr>
        <w:t xml:space="preserve">集合计划</w:t>
      </w:r>
      <w:r>
        <w:rPr>
          <w:rFonts w:ascii="宋体" w:hAnsi="宋体"/>
          <w:bCs/>
          <w:sz w:val="24"/>
        </w:rPr>
        <w:t xml:space="preserve">份额的凭证及</w:t>
      </w:r>
      <w:r>
        <w:rPr>
          <w:rFonts w:ascii="宋体" w:hAnsi="宋体"/>
          <w:bCs/>
          <w:sz w:val="24"/>
        </w:rPr>
        <w:t xml:space="preserve">委托人</w:t>
      </w:r>
      <w:r>
        <w:rPr>
          <w:rFonts w:ascii="宋体" w:hAnsi="宋体"/>
          <w:bCs/>
          <w:sz w:val="24"/>
        </w:rPr>
        <w:t xml:space="preserve">的代理投票授权委托证明符合法律法规、《集合计划合同》和会议通知的规定，并且持有</w:t>
      </w:r>
      <w:r>
        <w:rPr>
          <w:rFonts w:ascii="宋体" w:hAnsi="宋体"/>
          <w:bCs/>
          <w:sz w:val="24"/>
        </w:rPr>
        <w:t xml:space="preserve">集合计划</w:t>
      </w:r>
      <w:r>
        <w:rPr>
          <w:rFonts w:ascii="宋体" w:hAnsi="宋体"/>
          <w:bCs/>
          <w:sz w:val="24"/>
        </w:rPr>
        <w:t xml:space="preserve">份额的凭证与管理人持有的登记资料相符；</w:t>
      </w:r>
      <w:r/>
    </w:p>
    <w:p>
      <w:pPr>
        <w:pStyle w:val="369"/>
        <w:ind w:firstLine="480"/>
        <w:snapToGrid w:val="1"/>
        <w:spacing w:lineRule="auto" w:line="360"/>
        <w:rPr>
          <w:rFonts w:ascii="宋体" w:hAnsi="宋体"/>
          <w:bCs/>
          <w:sz w:val="24"/>
        </w:rPr>
      </w:pPr>
      <w:r>
        <w:rPr>
          <w:rFonts w:ascii="宋体" w:hAnsi="宋体"/>
          <w:bCs/>
          <w:sz w:val="24"/>
        </w:rPr>
        <w:t xml:space="preserve">（2）经核对，汇总到会者出示的在权益登记日持有</w:t>
      </w:r>
      <w:r>
        <w:rPr>
          <w:rFonts w:ascii="宋体" w:hAnsi="宋体"/>
          <w:bCs/>
          <w:sz w:val="24"/>
        </w:rPr>
        <w:t xml:space="preserve">集合计划</w:t>
      </w:r>
      <w:r>
        <w:rPr>
          <w:rFonts w:ascii="宋体" w:hAnsi="宋体"/>
          <w:bCs/>
          <w:sz w:val="24"/>
        </w:rPr>
        <w:t xml:space="preserve">份额的凭证显示，有效的</w:t>
      </w:r>
      <w:r>
        <w:rPr>
          <w:rFonts w:ascii="宋体" w:hAnsi="宋体"/>
          <w:bCs/>
          <w:sz w:val="24"/>
        </w:rPr>
        <w:t xml:space="preserve">集合计</w:t>
      </w:r>
      <w:r>
        <w:rPr>
          <w:rFonts w:ascii="宋体" w:hAnsi="宋体"/>
          <w:bCs/>
          <w:sz w:val="24"/>
        </w:rPr>
        <w:t xml:space="preserve">划</w:t>
      </w:r>
      <w:r>
        <w:rPr>
          <w:rFonts w:ascii="宋体" w:hAnsi="宋体"/>
          <w:bCs/>
          <w:sz w:val="24"/>
        </w:rPr>
        <w:t xml:space="preserve">份额不少于本集合计划在权益登记日</w:t>
      </w:r>
      <w:r>
        <w:rPr>
          <w:rFonts w:ascii="宋体" w:hAnsi="宋体"/>
          <w:bCs/>
          <w:sz w:val="24"/>
        </w:rPr>
        <w:t xml:space="preserve">集合计划</w:t>
      </w:r>
      <w:r>
        <w:rPr>
          <w:rFonts w:ascii="宋体" w:hAnsi="宋体"/>
          <w:bCs/>
          <w:sz w:val="24"/>
        </w:rPr>
        <w:t xml:space="preserve">总份额的二分之一（含二分之一）。若到会者在权益登记日代表的有效的</w:t>
      </w:r>
      <w:r>
        <w:rPr>
          <w:rFonts w:ascii="宋体" w:hAnsi="宋体"/>
          <w:bCs/>
          <w:sz w:val="24"/>
        </w:rPr>
        <w:t xml:space="preserve">集合计划</w:t>
      </w:r>
      <w:r>
        <w:rPr>
          <w:rFonts w:ascii="宋体" w:hAnsi="宋体"/>
          <w:bCs/>
          <w:sz w:val="24"/>
        </w:rPr>
        <w:t xml:space="preserve">份额少于本集合计划在权益登记日</w:t>
      </w:r>
      <w:r>
        <w:rPr>
          <w:rFonts w:ascii="宋体" w:hAnsi="宋体"/>
          <w:bCs/>
          <w:sz w:val="24"/>
        </w:rPr>
        <w:t xml:space="preserve">集合计划</w:t>
      </w:r>
      <w:r>
        <w:rPr>
          <w:rFonts w:ascii="宋体" w:hAnsi="宋体"/>
          <w:bCs/>
          <w:sz w:val="24"/>
        </w:rPr>
        <w:t xml:space="preserve">总份额的二分之一，召集人可以在原公告的集合计划份额持有人大会召开时间的3个月以后、6个月以内，就原定审议事项重新召集集合计划份额持有人大会。重新召集的集合计划份额持有人大会到会者在权益登记日代表的有效的</w:t>
      </w:r>
      <w:r>
        <w:rPr>
          <w:rFonts w:ascii="宋体" w:hAnsi="宋体"/>
          <w:bCs/>
          <w:sz w:val="24"/>
        </w:rPr>
        <w:t xml:space="preserve">集合计划</w:t>
      </w:r>
      <w:r>
        <w:rPr>
          <w:rFonts w:ascii="宋体" w:hAnsi="宋体"/>
          <w:bCs/>
          <w:sz w:val="24"/>
        </w:rPr>
        <w:t xml:space="preserve">份额应不少于本集合计划在权益登记日</w:t>
      </w:r>
      <w:r>
        <w:rPr>
          <w:rFonts w:ascii="宋体" w:hAnsi="宋体"/>
          <w:bCs/>
          <w:sz w:val="24"/>
        </w:rPr>
        <w:t xml:space="preserve">集合计划</w:t>
      </w:r>
      <w:r>
        <w:rPr>
          <w:rFonts w:ascii="宋体" w:hAnsi="宋体"/>
          <w:bCs/>
          <w:sz w:val="24"/>
        </w:rPr>
        <w:t xml:space="preserve">总份额的三分之一（含三分之一）。</w:t>
      </w:r>
      <w:r/>
    </w:p>
    <w:p>
      <w:pPr>
        <w:pStyle w:val="369"/>
        <w:ind w:firstLine="480"/>
        <w:snapToGrid w:val="1"/>
        <w:spacing w:lineRule="auto" w:line="360"/>
        <w:rPr>
          <w:rFonts w:ascii="宋体" w:hAnsi="宋体"/>
          <w:bCs/>
          <w:sz w:val="24"/>
        </w:rPr>
      </w:pPr>
      <w:r>
        <w:rPr>
          <w:rFonts w:ascii="宋体" w:hAnsi="宋体"/>
          <w:bCs/>
          <w:sz w:val="24"/>
        </w:rPr>
        <w:t xml:space="preserve">2、通讯开会。通讯开会系指集合计划份额持有人将其对表决事项的投票以书面形式</w:t>
      </w:r>
      <w:r>
        <w:rPr>
          <w:rFonts w:ascii="宋体" w:hAnsi="宋体"/>
          <w:bCs/>
          <w:sz w:val="24"/>
        </w:rPr>
        <w:t xml:space="preserve">或集合计划合同约定的其他方式</w:t>
      </w:r>
      <w:r>
        <w:rPr>
          <w:rFonts w:ascii="宋体" w:hAnsi="宋体"/>
          <w:bCs/>
          <w:sz w:val="24"/>
        </w:rPr>
        <w:t xml:space="preserve">在表决</w:t>
      </w:r>
      <w:r>
        <w:rPr>
          <w:rFonts w:ascii="宋体" w:hAnsi="宋体"/>
          <w:bCs/>
          <w:sz w:val="24"/>
        </w:rPr>
        <w:t xml:space="preserve">截止</w:t>
      </w:r>
      <w:r>
        <w:rPr>
          <w:rFonts w:ascii="宋体" w:hAnsi="宋体"/>
          <w:bCs/>
          <w:sz w:val="24"/>
        </w:rPr>
        <w:t xml:space="preserve">日以前送达至召集人指定的地址</w:t>
      </w:r>
      <w:r>
        <w:rPr>
          <w:rFonts w:ascii="宋体" w:hAnsi="宋体"/>
          <w:bCs/>
          <w:sz w:val="24"/>
        </w:rPr>
        <w:t xml:space="preserve">或系统</w:t>
      </w:r>
      <w:r>
        <w:rPr>
          <w:rFonts w:ascii="宋体" w:hAnsi="宋体"/>
          <w:bCs/>
          <w:sz w:val="24"/>
        </w:rPr>
        <w:t xml:space="preserve">。通讯开会应以书面方式</w:t>
      </w:r>
      <w:r>
        <w:rPr>
          <w:rFonts w:ascii="宋体" w:hAnsi="宋体"/>
          <w:bCs/>
          <w:sz w:val="24"/>
        </w:rPr>
        <w:t xml:space="preserve">或集合计划合同约定的其他方式</w:t>
      </w:r>
      <w:r>
        <w:rPr>
          <w:rFonts w:ascii="宋体" w:hAnsi="宋体"/>
          <w:bCs/>
          <w:sz w:val="24"/>
        </w:rPr>
        <w:t xml:space="preserve">进行表决。</w:t>
      </w:r>
      <w:r/>
    </w:p>
    <w:p>
      <w:pPr>
        <w:pStyle w:val="369"/>
        <w:ind w:firstLine="480"/>
        <w:snapToGrid w:val="1"/>
        <w:spacing w:lineRule="auto" w:line="360"/>
        <w:rPr>
          <w:rFonts w:ascii="宋体" w:hAnsi="宋体"/>
          <w:bCs/>
          <w:sz w:val="24"/>
        </w:rPr>
      </w:pPr>
      <w:r>
        <w:rPr>
          <w:rFonts w:ascii="宋体" w:hAnsi="宋体"/>
          <w:bCs/>
          <w:sz w:val="24"/>
        </w:rPr>
        <w:t xml:space="preserve">在同时符合以下条件时，通讯开会的方式视为有效：</w:t>
      </w:r>
      <w:r/>
    </w:p>
    <w:p>
      <w:pPr>
        <w:pStyle w:val="369"/>
        <w:ind w:firstLine="480"/>
        <w:snapToGrid w:val="1"/>
        <w:spacing w:lineRule="auto" w:line="360"/>
        <w:rPr>
          <w:rFonts w:ascii="宋体" w:hAnsi="宋体"/>
          <w:bCs/>
          <w:sz w:val="24"/>
        </w:rPr>
      </w:pPr>
      <w:r>
        <w:rPr>
          <w:rFonts w:ascii="宋体" w:hAnsi="宋体"/>
          <w:bCs/>
          <w:sz w:val="24"/>
        </w:rPr>
        <w:t xml:space="preserve">（1）会议召集人按《集合计划合同》约定公布会议通知后，在</w:t>
      </w:r>
      <w:r>
        <w:rPr>
          <w:rFonts w:ascii="宋体" w:hAnsi="宋体"/>
          <w:bCs/>
          <w:sz w:val="24"/>
        </w:rPr>
        <w:t xml:space="preserve">2</w:t>
      </w:r>
      <w:r>
        <w:rPr>
          <w:rFonts w:ascii="宋体" w:hAnsi="宋体"/>
          <w:bCs/>
          <w:sz w:val="24"/>
        </w:rPr>
        <w:t xml:space="preserve">个工作日内连续公布相关提示性公告；</w:t>
      </w:r>
      <w:r/>
    </w:p>
    <w:p>
      <w:pPr>
        <w:pStyle w:val="369"/>
        <w:ind w:firstLine="480"/>
        <w:snapToGrid w:val="1"/>
        <w:spacing w:lineRule="auto" w:line="360"/>
        <w:rPr>
          <w:rFonts w:ascii="宋体" w:hAnsi="宋体"/>
          <w:bCs/>
          <w:sz w:val="24"/>
        </w:rPr>
      </w:pPr>
      <w:r>
        <w:rPr>
          <w:rFonts w:ascii="宋体" w:hAnsi="宋体"/>
          <w:bCs/>
          <w:sz w:val="24"/>
        </w:rPr>
        <w:t xml:space="preserve">（2）召集人按集合计划合同</w:t>
      </w:r>
      <w:r>
        <w:rPr>
          <w:rFonts w:ascii="宋体" w:hAnsi="宋体"/>
          <w:bCs/>
          <w:sz w:val="24"/>
        </w:rPr>
        <w:t xml:space="preserve">约</w:t>
      </w:r>
      <w:r>
        <w:rPr>
          <w:rFonts w:ascii="宋体" w:hAnsi="宋体"/>
          <w:bCs/>
          <w:sz w:val="24"/>
        </w:rPr>
        <w:t xml:space="preserve">定通知托管人（如果托管人为召集人，则为管理人）到指定地点对书面表决意见的计票进行监督。会议召集人在托管人（如果托管人为召集人，则为管理人）和公证机关的监督下按照会议通知规定的方式收取份额持有人的书面表决意见；</w:t>
      </w:r>
      <w:r>
        <w:rPr>
          <w:rFonts w:ascii="宋体" w:hAnsi="宋体"/>
          <w:bCs/>
          <w:sz w:val="24"/>
        </w:rPr>
        <w:t xml:space="preserve">托管人或管理人经通知不参加收取书面表决意见的，不影响表决效力；</w:t>
      </w:r>
      <w:r/>
    </w:p>
    <w:p>
      <w:pPr>
        <w:pStyle w:val="369"/>
        <w:ind w:firstLine="540"/>
        <w:snapToGrid w:val="1"/>
        <w:spacing w:lineRule="auto" w:line="360"/>
        <w:rPr>
          <w:rFonts w:ascii="宋体" w:hAnsi="宋体"/>
          <w:bCs/>
          <w:sz w:val="24"/>
        </w:rPr>
      </w:pPr>
      <w:r>
        <w:rPr>
          <w:rFonts w:ascii="宋体" w:hAnsi="宋体"/>
          <w:bCs/>
          <w:sz w:val="24"/>
        </w:rPr>
        <w:t xml:space="preserve">（3）本人直接出具书面意见或授权他人代表出具书面意见的，集合计划份额持有人所持有的</w:t>
      </w:r>
      <w:r>
        <w:rPr>
          <w:rFonts w:ascii="宋体" w:hAnsi="宋体"/>
          <w:bCs/>
          <w:sz w:val="24"/>
        </w:rPr>
        <w:t xml:space="preserve">集合计划</w:t>
      </w:r>
      <w:r>
        <w:rPr>
          <w:rFonts w:ascii="宋体" w:hAnsi="宋体"/>
          <w:bCs/>
          <w:sz w:val="24"/>
        </w:rPr>
        <w:t xml:space="preserve">份额不小于在权益登记日</w:t>
      </w:r>
      <w:r>
        <w:rPr>
          <w:rFonts w:ascii="宋体" w:hAnsi="宋体"/>
          <w:bCs/>
          <w:sz w:val="24"/>
        </w:rPr>
        <w:t xml:space="preserve">集合计划</w:t>
      </w:r>
      <w:r>
        <w:rPr>
          <w:rFonts w:ascii="宋体" w:hAnsi="宋体"/>
          <w:bCs/>
          <w:sz w:val="24"/>
        </w:rPr>
        <w:t xml:space="preserve">总份额的</w:t>
      </w:r>
      <w:r>
        <w:rPr>
          <w:rFonts w:ascii="宋体" w:hAnsi="宋体"/>
          <w:bCs/>
          <w:sz w:val="24"/>
        </w:rPr>
        <w:t xml:space="preserve">二分之一（含二分之一）；若本人直接出具书面意见或授权他人代表出具书面意见集合计划份额持有人所持有的集合计划份额小于在权益登记日集合计划总份额的二分之一，召集人可以在原公告的集合计划份额持有人大会召开时间的3个月以后、6个月以内，就原定审议事项重新召集集合计划份额持有人大会。重新召集的集合计划份额持有人大会应当有代表三分</w:t>
      </w:r>
      <w:r>
        <w:rPr>
          <w:rFonts w:ascii="宋体" w:hAnsi="宋体"/>
          <w:bCs/>
          <w:sz w:val="24"/>
        </w:rPr>
        <w:t xml:space="preserve">之一以上（含三分之一）集合计划份额的集合计划份额持有人直接出具书面意见或授权他人代表出具书面意见</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（4）上述第（3）项中直接出具</w:t>
      </w:r>
      <w:r>
        <w:rPr>
          <w:rFonts w:ascii="宋体" w:hAnsi="宋体"/>
          <w:bCs/>
          <w:sz w:val="24"/>
        </w:rPr>
        <w:t xml:space="preserve">书面</w:t>
      </w:r>
      <w:r>
        <w:rPr>
          <w:rFonts w:ascii="宋体" w:hAnsi="宋体"/>
          <w:bCs/>
          <w:sz w:val="24"/>
        </w:rPr>
        <w:t xml:space="preserve">意见的集合计划份额持有人或受托代表他人出具</w:t>
      </w:r>
      <w:r>
        <w:rPr>
          <w:rFonts w:ascii="宋体" w:hAnsi="宋体"/>
          <w:bCs/>
          <w:sz w:val="24"/>
        </w:rPr>
        <w:t xml:space="preserve">书面</w:t>
      </w:r>
      <w:r>
        <w:rPr>
          <w:rFonts w:ascii="宋体" w:hAnsi="宋体"/>
          <w:bCs/>
          <w:sz w:val="24"/>
        </w:rPr>
        <w:t xml:space="preserve">意见的代理人，同时提交的持有</w:t>
      </w:r>
      <w:r>
        <w:rPr>
          <w:rFonts w:ascii="宋体" w:hAnsi="宋体"/>
          <w:bCs/>
          <w:sz w:val="24"/>
        </w:rPr>
        <w:t xml:space="preserve">集合计划</w:t>
      </w:r>
      <w:r>
        <w:rPr>
          <w:rFonts w:ascii="宋体" w:hAnsi="宋体"/>
          <w:bCs/>
          <w:sz w:val="24"/>
        </w:rPr>
        <w:t xml:space="preserve">份额的凭证、受托出具书面意见的代理人出具的</w:t>
      </w:r>
      <w:r>
        <w:rPr>
          <w:rFonts w:ascii="宋体" w:hAnsi="宋体"/>
          <w:bCs/>
          <w:sz w:val="24"/>
        </w:rPr>
        <w:t xml:space="preserve">委托人</w:t>
      </w:r>
      <w:r>
        <w:rPr>
          <w:rFonts w:ascii="宋体" w:hAnsi="宋体"/>
          <w:bCs/>
          <w:sz w:val="24"/>
        </w:rPr>
        <w:t xml:space="preserve">持有</w:t>
      </w:r>
      <w:r>
        <w:rPr>
          <w:rFonts w:ascii="宋体" w:hAnsi="宋体"/>
          <w:bCs/>
          <w:sz w:val="24"/>
        </w:rPr>
        <w:t xml:space="preserve">集合计划</w:t>
      </w:r>
      <w:r>
        <w:rPr>
          <w:rFonts w:ascii="宋体" w:hAnsi="宋体"/>
          <w:bCs/>
          <w:sz w:val="24"/>
        </w:rPr>
        <w:t xml:space="preserve">份额的凭证及</w:t>
      </w:r>
      <w:r>
        <w:rPr>
          <w:rFonts w:ascii="宋体" w:hAnsi="宋体"/>
          <w:bCs/>
          <w:sz w:val="24"/>
        </w:rPr>
        <w:t xml:space="preserve">委托人</w:t>
      </w:r>
      <w:r>
        <w:rPr>
          <w:rFonts w:ascii="宋体" w:hAnsi="宋体"/>
          <w:bCs/>
          <w:sz w:val="24"/>
        </w:rPr>
        <w:t xml:space="preserve">的代理投票授权委托证明符合法律法规、《集合计划合同》和会议通知的规定，并与</w:t>
      </w:r>
      <w:r>
        <w:rPr>
          <w:rFonts w:ascii="宋体" w:hAnsi="宋体"/>
          <w:bCs/>
          <w:sz w:val="24"/>
        </w:rPr>
        <w:t xml:space="preserve">集合计划登记</w:t>
      </w:r>
      <w:r>
        <w:rPr>
          <w:rFonts w:ascii="宋体" w:hAnsi="宋体"/>
          <w:bCs/>
          <w:sz w:val="24"/>
        </w:rPr>
        <w:t xml:space="preserve">机构记录相符。</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、在不与法律法规冲突的前提下，集合计划份额持有人大会亦可</w:t>
      </w:r>
      <w:r>
        <w:rPr>
          <w:rFonts w:ascii="宋体" w:hAnsi="宋体"/>
          <w:color w:val="000000"/>
          <w:sz w:val="24"/>
        </w:rPr>
        <w:t xml:space="preserve">采用</w:t>
      </w:r>
      <w:r>
        <w:rPr>
          <w:rFonts w:ascii="宋体" w:hAnsi="宋体"/>
          <w:bCs/>
          <w:color w:val="000000"/>
          <w:sz w:val="24"/>
        </w:rPr>
        <w:t xml:space="preserve">网络、电话、短信等</w:t>
      </w:r>
      <w:r>
        <w:rPr>
          <w:rFonts w:ascii="宋体" w:hAnsi="宋体"/>
          <w:color w:val="000000"/>
          <w:sz w:val="24"/>
        </w:rPr>
        <w:t xml:space="preserve">其他非现场方式或者以现场方式与非现场</w:t>
      </w:r>
      <w:r>
        <w:rPr>
          <w:rFonts w:ascii="宋体" w:hAnsi="宋体"/>
          <w:color w:val="000000"/>
          <w:sz w:val="24"/>
        </w:rPr>
        <w:t xml:space="preserve">方式相结合的方式</w:t>
      </w:r>
      <w:r>
        <w:rPr>
          <w:rFonts w:ascii="宋体" w:hAnsi="宋体"/>
          <w:bCs/>
          <w:sz w:val="24"/>
        </w:rPr>
        <w:t xml:space="preserve">召开，</w:t>
      </w:r>
      <w:r>
        <w:rPr>
          <w:rFonts w:ascii="宋体" w:hAnsi="宋体"/>
          <w:color w:val="000000"/>
          <w:sz w:val="24"/>
        </w:rPr>
        <w:t xml:space="preserve">会议程序比照现场开会和通讯开会的程序进行。</w:t>
      </w:r>
      <w:r>
        <w:rPr>
          <w:rFonts w:ascii="宋体" w:hAnsi="宋体"/>
          <w:bCs/>
          <w:sz w:val="24"/>
        </w:rPr>
        <w:t xml:space="preserve">集合计划份额持有人可以采用书面、网络、电话、短信或其他方式进行表决，具体方式由会议召集人确定并在会议通知中列明。</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、在不与法律法规冲突的前提下，集合计划份额持有人</w:t>
      </w:r>
      <w:r>
        <w:rPr>
          <w:rFonts w:ascii="宋体" w:hAnsi="宋体"/>
          <w:bCs/>
          <w:color w:val="000000"/>
          <w:sz w:val="24"/>
        </w:rPr>
        <w:t xml:space="preserve">可采用其他书面或非书面方式</w:t>
      </w:r>
      <w:r>
        <w:rPr>
          <w:rFonts w:ascii="宋体" w:hAnsi="宋体"/>
          <w:bCs/>
          <w:sz w:val="24"/>
        </w:rPr>
        <w:t xml:space="preserve">授权他人代为出席集合计划</w:t>
      </w:r>
      <w:r>
        <w:rPr>
          <w:rFonts w:ascii="宋体" w:hAnsi="宋体"/>
          <w:bCs/>
          <w:color w:val="000000"/>
          <w:sz w:val="24"/>
        </w:rPr>
        <w:t xml:space="preserve">份额持有人大会并行使表决权</w:t>
      </w:r>
      <w:r>
        <w:rPr>
          <w:rFonts w:ascii="宋体" w:hAnsi="宋体"/>
          <w:bCs/>
          <w:sz w:val="24"/>
        </w:rPr>
        <w:t xml:space="preserve">，授权方式可以采用书面、网络、电话、短信或其他方式，具体方式在会议通知中列明。</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五</w:t>
      </w:r>
      <w:r>
        <w:rPr>
          <w:rFonts w:ascii="宋体" w:hAnsi="宋体"/>
          <w:bCs/>
          <w:sz w:val="24"/>
        </w:rPr>
        <w:t xml:space="preserve">）议事内容与程序</w:t>
      </w:r>
      <w:r/>
    </w:p>
    <w:p>
      <w:pPr>
        <w:pStyle w:val="369"/>
        <w:ind w:firstLine="480"/>
        <w:snapToGrid w:val="1"/>
        <w:spacing w:lineRule="auto" w:line="360"/>
        <w:rPr>
          <w:rFonts w:ascii="宋体" w:hAnsi="宋体"/>
          <w:bCs/>
          <w:sz w:val="24"/>
        </w:rPr>
      </w:pPr>
      <w:r>
        <w:rPr>
          <w:rFonts w:ascii="宋体" w:hAnsi="宋体"/>
          <w:bCs/>
          <w:sz w:val="24"/>
        </w:rPr>
        <w:t xml:space="preserve">1、议事内容及提案权</w:t>
      </w:r>
      <w:r/>
    </w:p>
    <w:p>
      <w:pPr>
        <w:pStyle w:val="369"/>
        <w:ind w:firstLine="480"/>
        <w:snapToGrid w:val="1"/>
        <w:spacing w:lineRule="auto" w:line="360"/>
        <w:rPr>
          <w:rFonts w:ascii="宋体" w:hAnsi="宋体"/>
          <w:bCs/>
          <w:sz w:val="24"/>
        </w:rPr>
      </w:pPr>
      <w:r>
        <w:rPr>
          <w:rFonts w:ascii="宋体" w:hAnsi="宋体"/>
          <w:bCs/>
          <w:sz w:val="24"/>
        </w:rPr>
        <w:t xml:space="preserve">议事内容为关系</w:t>
      </w:r>
      <w:r>
        <w:rPr>
          <w:rFonts w:ascii="宋体" w:hAnsi="宋体"/>
          <w:bCs/>
          <w:sz w:val="24"/>
        </w:rPr>
        <w:t xml:space="preserve">集合计划</w:t>
      </w:r>
      <w:r>
        <w:rPr>
          <w:rFonts w:ascii="宋体" w:hAnsi="宋体"/>
          <w:bCs/>
          <w:sz w:val="24"/>
        </w:rPr>
        <w:t xml:space="preserve">份额持有人利益的重大事项，如《集合计划合同》的重大修改、决定终</w:t>
      </w:r>
      <w:r>
        <w:rPr>
          <w:rFonts w:ascii="宋体" w:hAnsi="宋体"/>
          <w:bCs/>
          <w:sz w:val="24"/>
        </w:rPr>
        <w:t xml:space="preserve">止《集合计划合同》、更换管理人、更换托管人、与其他</w:t>
      </w:r>
      <w:r>
        <w:rPr>
          <w:rFonts w:ascii="宋体" w:hAnsi="宋体"/>
          <w:bCs/>
          <w:sz w:val="24"/>
        </w:rPr>
        <w:t xml:space="preserve">集合资产管理计划</w:t>
      </w:r>
      <w:r>
        <w:rPr>
          <w:rFonts w:ascii="宋体" w:hAnsi="宋体"/>
          <w:bCs/>
          <w:sz w:val="24"/>
        </w:rPr>
        <w:t xml:space="preserve">合并、法律法规及《集合计划合同》规定的其他事项以及会议召集人认为需提交</w:t>
      </w:r>
      <w:r>
        <w:rPr>
          <w:rFonts w:ascii="宋体" w:hAnsi="宋体"/>
          <w:bCs/>
          <w:sz w:val="24"/>
        </w:rPr>
        <w:t xml:space="preserve">集合计划</w:t>
      </w:r>
      <w:r>
        <w:rPr>
          <w:rFonts w:ascii="宋体" w:hAnsi="宋体"/>
          <w:bCs/>
          <w:sz w:val="24"/>
        </w:rPr>
        <w:t xml:space="preserve">份额持有人大会讨论的其他事项。</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份额持有人大会的召集人发出召集会议的通知后，对原有提案的修改应当在</w:t>
      </w:r>
      <w:r>
        <w:rPr>
          <w:rFonts w:ascii="宋体" w:hAnsi="宋体"/>
          <w:bCs/>
          <w:sz w:val="24"/>
        </w:rPr>
        <w:t xml:space="preserve">集合计划</w:t>
      </w:r>
      <w:r>
        <w:rPr>
          <w:rFonts w:ascii="宋体" w:hAnsi="宋体"/>
          <w:bCs/>
          <w:sz w:val="24"/>
        </w:rPr>
        <w:t xml:space="preserve">份额持有人大会召开前及时公告。</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份额持有人大会不得对未事先公告的议事内容进行表决。</w:t>
      </w:r>
      <w:r/>
    </w:p>
    <w:p>
      <w:pPr>
        <w:pStyle w:val="369"/>
        <w:ind w:firstLine="480"/>
        <w:snapToGrid w:val="1"/>
        <w:spacing w:lineRule="auto" w:line="360"/>
        <w:rPr>
          <w:rFonts w:ascii="宋体" w:hAnsi="宋体"/>
          <w:bCs/>
          <w:sz w:val="24"/>
        </w:rPr>
      </w:pPr>
      <w:r>
        <w:rPr>
          <w:rFonts w:ascii="宋体" w:hAnsi="宋体"/>
          <w:bCs/>
          <w:sz w:val="24"/>
        </w:rPr>
        <w:t xml:space="preserve">2、议事程序</w:t>
      </w:r>
      <w:r/>
    </w:p>
    <w:p>
      <w:pPr>
        <w:pStyle w:val="369"/>
        <w:ind w:firstLine="480"/>
        <w:snapToGrid w:val="1"/>
        <w:spacing w:lineRule="auto" w:line="360"/>
        <w:rPr>
          <w:rFonts w:ascii="宋体" w:hAnsi="宋体"/>
          <w:bCs/>
          <w:sz w:val="24"/>
        </w:rPr>
      </w:pPr>
      <w:r>
        <w:rPr>
          <w:rFonts w:ascii="宋体" w:hAnsi="宋体"/>
          <w:bCs/>
          <w:sz w:val="24"/>
        </w:rPr>
        <w:t xml:space="preserve">（1）现场开会</w:t>
      </w:r>
      <w:r/>
    </w:p>
    <w:p>
      <w:pPr>
        <w:pStyle w:val="369"/>
        <w:ind w:firstLine="480"/>
        <w:snapToGrid w:val="1"/>
        <w:spacing w:lineRule="auto" w:line="360"/>
        <w:rPr>
          <w:rFonts w:ascii="宋体" w:hAnsi="宋体"/>
          <w:bCs/>
          <w:sz w:val="24"/>
        </w:rPr>
      </w:pPr>
      <w:r>
        <w:rPr>
          <w:rFonts w:ascii="宋体" w:hAnsi="宋体"/>
          <w:bCs/>
          <w:sz w:val="24"/>
        </w:rPr>
        <w:t xml:space="preserve">在现场开会的方式下，首先由大会主持人按照下列第</w:t>
      </w:r>
      <w:r>
        <w:rPr>
          <w:rFonts w:ascii="宋体" w:hAnsi="宋体"/>
          <w:bCs/>
          <w:sz w:val="24"/>
        </w:rPr>
        <w:t xml:space="preserve">（</w:t>
      </w:r>
      <w:r>
        <w:rPr>
          <w:rFonts w:ascii="宋体" w:hAnsi="宋体"/>
          <w:bCs/>
          <w:sz w:val="24"/>
        </w:rPr>
        <w:t xml:space="preserve">七</w:t>
      </w:r>
      <w:r>
        <w:rPr>
          <w:rFonts w:ascii="宋体" w:hAnsi="宋体"/>
          <w:bCs/>
          <w:sz w:val="24"/>
        </w:rPr>
        <w:t xml:space="preserve">）</w:t>
      </w:r>
      <w:r>
        <w:rPr>
          <w:rFonts w:ascii="宋体" w:hAnsi="宋体"/>
          <w:bCs/>
          <w:sz w:val="24"/>
        </w:rPr>
        <w:t xml:space="preserve">条规定程序确定和公布监票人，然后由大会主持人宣读提案，经讨论后进行表决，并形成大</w:t>
      </w:r>
      <w:r>
        <w:rPr>
          <w:rFonts w:ascii="宋体" w:hAnsi="宋体"/>
          <w:bCs/>
          <w:sz w:val="24"/>
        </w:rPr>
        <w:t xml:space="preserve">会决议。大会主持人为管理人授权出席会议的代表，在管理人授权代表未能主持大会的情况下，由托管人授权其出席会议的代表主持；如果管理人授权代表和托管人授权代表均未能主持大会，则由出席大会的</w:t>
      </w:r>
      <w:r>
        <w:rPr>
          <w:rFonts w:ascii="宋体" w:hAnsi="宋体"/>
          <w:bCs/>
          <w:sz w:val="24"/>
        </w:rPr>
        <w:t xml:space="preserve">集合计划</w:t>
      </w:r>
      <w:r>
        <w:rPr>
          <w:rFonts w:ascii="宋体" w:hAnsi="宋体"/>
          <w:bCs/>
          <w:sz w:val="24"/>
        </w:rPr>
        <w:t xml:space="preserve">份额持有人和代理人所持表决权的</w:t>
      </w:r>
      <w:r>
        <w:rPr>
          <w:rFonts w:ascii="宋体" w:hAnsi="宋体"/>
          <w:bCs/>
          <w:sz w:val="24"/>
        </w:rPr>
        <w:t xml:space="preserve">50%</w:t>
      </w:r>
      <w:r>
        <w:rPr>
          <w:rFonts w:ascii="宋体" w:hAnsi="宋体"/>
          <w:bCs/>
          <w:sz w:val="24"/>
        </w:rPr>
        <w:t xml:space="preserve">以上（含</w:t>
      </w:r>
      <w:r>
        <w:rPr>
          <w:rFonts w:ascii="宋体" w:hAnsi="宋体"/>
          <w:bCs/>
          <w:sz w:val="24"/>
        </w:rPr>
        <w:t xml:space="preserve">50%</w:t>
      </w:r>
      <w:r>
        <w:rPr>
          <w:rFonts w:ascii="宋体" w:hAnsi="宋体"/>
          <w:bCs/>
          <w:sz w:val="24"/>
        </w:rPr>
        <w:t xml:space="preserve">）选举产生一名</w:t>
      </w:r>
      <w:r>
        <w:rPr>
          <w:rFonts w:ascii="宋体" w:hAnsi="宋体"/>
          <w:bCs/>
          <w:sz w:val="24"/>
        </w:rPr>
        <w:t xml:space="preserve">集合计划</w:t>
      </w:r>
      <w:r>
        <w:rPr>
          <w:rFonts w:ascii="宋体" w:hAnsi="宋体"/>
          <w:bCs/>
          <w:sz w:val="24"/>
        </w:rPr>
        <w:t xml:space="preserve">份额持有人作为该次</w:t>
      </w:r>
      <w:r>
        <w:rPr>
          <w:rFonts w:ascii="宋体" w:hAnsi="宋体"/>
          <w:bCs/>
          <w:sz w:val="24"/>
        </w:rPr>
        <w:t xml:space="preserve">集合计划</w:t>
      </w:r>
      <w:r>
        <w:rPr>
          <w:rFonts w:ascii="宋体" w:hAnsi="宋体"/>
          <w:bCs/>
          <w:sz w:val="24"/>
        </w:rPr>
        <w:t xml:space="preserve">份额持有人大会的主持人。管理人和托管人拒不出席或主持</w:t>
      </w:r>
      <w:r>
        <w:rPr>
          <w:rFonts w:ascii="宋体" w:hAnsi="宋体"/>
          <w:bCs/>
          <w:sz w:val="24"/>
        </w:rPr>
        <w:t xml:space="preserve">集合计划</w:t>
      </w:r>
      <w:r>
        <w:rPr>
          <w:rFonts w:ascii="宋体" w:hAnsi="宋体"/>
          <w:bCs/>
          <w:sz w:val="24"/>
        </w:rPr>
        <w:t xml:space="preserve">份额持有人大会，不影响</w:t>
      </w:r>
      <w:r>
        <w:rPr>
          <w:rFonts w:ascii="宋体" w:hAnsi="宋体"/>
          <w:bCs/>
          <w:sz w:val="24"/>
        </w:rPr>
        <w:t xml:space="preserve">集合计划</w:t>
      </w:r>
      <w:r>
        <w:rPr>
          <w:rFonts w:ascii="宋体" w:hAnsi="宋体"/>
          <w:bCs/>
          <w:sz w:val="24"/>
        </w:rPr>
        <w:t xml:space="preserve">份额持有人大会作出的决议的效力。</w:t>
      </w:r>
      <w:r/>
    </w:p>
    <w:p>
      <w:pPr>
        <w:pStyle w:val="369"/>
        <w:ind w:firstLine="480"/>
        <w:snapToGrid w:val="1"/>
        <w:spacing w:lineRule="auto" w:line="360"/>
        <w:rPr>
          <w:rFonts w:ascii="宋体" w:hAnsi="宋体"/>
          <w:bCs/>
          <w:sz w:val="24"/>
        </w:rPr>
      </w:pPr>
      <w:r>
        <w:rPr>
          <w:rFonts w:ascii="宋体" w:hAnsi="宋体"/>
          <w:bCs/>
          <w:sz w:val="24"/>
        </w:rPr>
        <w:t xml:space="preserve">会议召集人应当制作出席会议人员的签名册。签名册载明参加会议人员姓名（或单位名称）、身份证明文件号码、</w:t>
      </w:r>
      <w:r>
        <w:rPr>
          <w:rFonts w:ascii="宋体" w:hAnsi="宋体"/>
          <w:bCs/>
          <w:sz w:val="24"/>
        </w:rPr>
        <w:t xml:space="preserve">持有或代表有表决权的</w:t>
      </w:r>
      <w:r>
        <w:rPr>
          <w:rFonts w:ascii="宋体" w:hAnsi="宋体"/>
          <w:bCs/>
          <w:sz w:val="24"/>
        </w:rPr>
        <w:t xml:space="preserve">集合计划</w:t>
      </w:r>
      <w:r>
        <w:rPr>
          <w:rFonts w:ascii="宋体" w:hAnsi="宋体"/>
          <w:bCs/>
          <w:sz w:val="24"/>
        </w:rPr>
        <w:t xml:space="preserve">份额、</w:t>
      </w:r>
      <w:r>
        <w:rPr>
          <w:rFonts w:ascii="宋体" w:hAnsi="宋体"/>
          <w:bCs/>
          <w:sz w:val="24"/>
        </w:rPr>
        <w:t xml:space="preserve">委托人</w:t>
      </w:r>
      <w:r>
        <w:rPr>
          <w:rFonts w:ascii="宋体" w:hAnsi="宋体"/>
          <w:bCs/>
          <w:sz w:val="24"/>
        </w:rPr>
        <w:t xml:space="preserve">姓名（或单位名称）和联系方式等事项。</w:t>
      </w:r>
      <w:r/>
    </w:p>
    <w:p>
      <w:pPr>
        <w:pStyle w:val="369"/>
        <w:ind w:firstLine="480"/>
        <w:snapToGrid w:val="1"/>
        <w:spacing w:lineRule="auto" w:line="360"/>
        <w:rPr>
          <w:rFonts w:ascii="宋体" w:hAnsi="宋体"/>
          <w:bCs/>
          <w:sz w:val="24"/>
        </w:rPr>
      </w:pPr>
      <w:r>
        <w:rPr>
          <w:rFonts w:ascii="宋体" w:hAnsi="宋体"/>
          <w:bCs/>
          <w:sz w:val="24"/>
        </w:rPr>
        <w:t xml:space="preserve">（2）通讯开会</w:t>
      </w:r>
      <w:r/>
    </w:p>
    <w:p>
      <w:pPr>
        <w:pStyle w:val="369"/>
        <w:ind w:firstLine="480"/>
        <w:snapToGrid w:val="1"/>
        <w:spacing w:lineRule="auto" w:line="360"/>
        <w:rPr>
          <w:rFonts w:ascii="宋体" w:hAnsi="宋体"/>
          <w:bCs/>
          <w:sz w:val="24"/>
        </w:rPr>
      </w:pPr>
      <w:r>
        <w:rPr>
          <w:rFonts w:ascii="宋体" w:hAnsi="宋体"/>
          <w:bCs/>
          <w:sz w:val="24"/>
        </w:rPr>
        <w:t xml:space="preserve">在通讯开会的情况下，首先由召集人提前</w:t>
      </w:r>
      <w:r>
        <w:rPr>
          <w:rFonts w:ascii="宋体" w:hAnsi="宋体"/>
          <w:bCs/>
          <w:sz w:val="24"/>
        </w:rPr>
        <w:t xml:space="preserve">30</w:t>
      </w:r>
      <w:r>
        <w:rPr>
          <w:rFonts w:ascii="宋体" w:hAnsi="宋体"/>
          <w:bCs/>
          <w:sz w:val="24"/>
        </w:rPr>
        <w:t xml:space="preserve">日公布提案，在所通知的表决截止日期后</w:t>
      </w:r>
      <w:r>
        <w:rPr>
          <w:rFonts w:ascii="宋体" w:hAnsi="宋体"/>
          <w:bCs/>
          <w:sz w:val="24"/>
        </w:rPr>
        <w:t xml:space="preserve">2</w:t>
      </w:r>
      <w:r>
        <w:rPr>
          <w:rFonts w:ascii="宋体" w:hAnsi="宋体"/>
          <w:bCs/>
          <w:sz w:val="24"/>
        </w:rPr>
        <w:t xml:space="preserve">个工作日内在公证机关监督下由召集人统计全部有效表决，在公证机关监督下形成决议。</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六</w:t>
      </w:r>
      <w:r>
        <w:rPr>
          <w:rFonts w:ascii="宋体" w:hAnsi="宋体"/>
          <w:bCs/>
          <w:sz w:val="24"/>
        </w:rPr>
        <w:t xml:space="preserve">）表决</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份额持有人所持每份</w:t>
      </w:r>
      <w:r>
        <w:rPr>
          <w:rFonts w:ascii="宋体" w:hAnsi="宋体"/>
          <w:bCs/>
          <w:sz w:val="24"/>
        </w:rPr>
        <w:t xml:space="preserve">集合计划</w:t>
      </w:r>
      <w:r>
        <w:rPr>
          <w:rFonts w:ascii="宋体" w:hAnsi="宋体"/>
          <w:bCs/>
          <w:sz w:val="24"/>
        </w:rPr>
        <w:t xml:space="preserve">份额有一票表决权。</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份额持有人大会决议分为一般决议和特别决议：</w:t>
      </w:r>
      <w:r/>
    </w:p>
    <w:p>
      <w:pPr>
        <w:pStyle w:val="369"/>
        <w:ind w:firstLine="480"/>
        <w:snapToGrid w:val="1"/>
        <w:spacing w:lineRule="auto" w:line="360"/>
        <w:rPr>
          <w:rFonts w:ascii="宋体" w:hAnsi="宋体"/>
          <w:bCs/>
          <w:sz w:val="24"/>
        </w:rPr>
      </w:pPr>
      <w:r>
        <w:rPr>
          <w:rFonts w:ascii="宋体" w:hAnsi="宋体"/>
          <w:bCs/>
          <w:sz w:val="24"/>
        </w:rPr>
        <w:t xml:space="preserve">1、一般决议，一般决议须经参加大会的</w:t>
      </w:r>
      <w:r>
        <w:rPr>
          <w:rFonts w:ascii="宋体" w:hAnsi="宋体"/>
          <w:bCs/>
          <w:sz w:val="24"/>
        </w:rPr>
        <w:t xml:space="preserve">集合计划</w:t>
      </w:r>
      <w:r>
        <w:rPr>
          <w:rFonts w:ascii="宋体" w:hAnsi="宋体"/>
          <w:bCs/>
          <w:sz w:val="24"/>
        </w:rPr>
        <w:t xml:space="preserve">份额持有人或其代理人所持表决权的二分之一以上（含二分之一）通过方为有效；除下列第2项所规定的须以特</w:t>
      </w:r>
      <w:r>
        <w:rPr>
          <w:rFonts w:ascii="宋体" w:hAnsi="宋体"/>
          <w:bCs/>
          <w:sz w:val="24"/>
        </w:rPr>
        <w:t xml:space="preserve">别决议通过事项以外的其他事项均以一般决议的方式通过。</w:t>
      </w:r>
      <w:r/>
    </w:p>
    <w:p>
      <w:pPr>
        <w:pStyle w:val="369"/>
        <w:ind w:firstLine="480"/>
        <w:snapToGrid w:val="1"/>
        <w:spacing w:lineRule="auto" w:line="360"/>
        <w:rPr>
          <w:rFonts w:ascii="宋体" w:hAnsi="宋体"/>
          <w:bCs/>
          <w:sz w:val="24"/>
        </w:rPr>
      </w:pPr>
      <w:r>
        <w:rPr>
          <w:rFonts w:ascii="宋体" w:hAnsi="宋体"/>
          <w:bCs/>
          <w:sz w:val="24"/>
        </w:rPr>
        <w:t xml:space="preserve">2、特别决议，特别决议应当经参加大会的</w:t>
      </w:r>
      <w:r>
        <w:rPr>
          <w:rFonts w:ascii="宋体" w:hAnsi="宋体"/>
          <w:bCs/>
          <w:sz w:val="24"/>
        </w:rPr>
        <w:t xml:space="preserve">集合计划</w:t>
      </w:r>
      <w:r>
        <w:rPr>
          <w:rFonts w:ascii="宋体" w:hAnsi="宋体"/>
          <w:bCs/>
          <w:sz w:val="24"/>
        </w:rPr>
        <w:t xml:space="preserve">份额持有人或其代理人所持表决权</w:t>
      </w:r>
      <w:r>
        <w:rPr>
          <w:rFonts w:ascii="宋体" w:hAnsi="宋体"/>
          <w:bCs/>
          <w:sz w:val="24"/>
          <w:szCs w:val="24"/>
        </w:rPr>
        <w:t xml:space="preserve">的</w:t>
      </w:r>
      <w:r>
        <w:rPr>
          <w:rFonts w:ascii="宋体" w:hAnsi="宋体"/>
          <w:sz w:val="24"/>
          <w:szCs w:val="24"/>
        </w:rPr>
        <w:t xml:space="preserve">三分之二</w:t>
      </w:r>
      <w:r>
        <w:rPr>
          <w:rFonts w:ascii="宋体" w:hAnsi="宋体"/>
          <w:sz w:val="24"/>
          <w:szCs w:val="24"/>
        </w:rPr>
        <w:t xml:space="preserve">以上（含</w:t>
      </w:r>
      <w:r>
        <w:rPr>
          <w:rFonts w:ascii="宋体" w:hAnsi="宋体"/>
          <w:sz w:val="24"/>
          <w:szCs w:val="24"/>
        </w:rPr>
        <w:t xml:space="preserve">三分之二</w:t>
      </w:r>
      <w:r>
        <w:rPr>
          <w:rFonts w:ascii="宋体" w:hAnsi="宋体"/>
          <w:sz w:val="24"/>
          <w:szCs w:val="24"/>
        </w:rPr>
        <w:t xml:space="preserve">）通</w:t>
      </w:r>
      <w:r>
        <w:rPr>
          <w:rFonts w:ascii="宋体" w:hAnsi="宋体"/>
          <w:sz w:val="24"/>
        </w:rPr>
        <w:t xml:space="preserve">过方可做出。</w:t>
      </w:r>
      <w:r>
        <w:rPr>
          <w:rFonts w:ascii="宋体" w:hAnsi="宋体"/>
          <w:sz w:val="24"/>
        </w:rPr>
        <w:t xml:space="preserve">除本合同另有约定外，</w:t>
      </w:r>
      <w:r>
        <w:rPr>
          <w:rFonts w:ascii="宋体" w:hAnsi="宋体"/>
          <w:sz w:val="24"/>
        </w:rPr>
        <w:t xml:space="preserve">转换</w:t>
      </w:r>
      <w:r>
        <w:rPr>
          <w:rFonts w:ascii="宋体" w:hAnsi="宋体"/>
          <w:bCs/>
          <w:sz w:val="24"/>
        </w:rPr>
        <w:t xml:space="preserve">集合计划</w:t>
      </w:r>
      <w:r>
        <w:rPr>
          <w:rFonts w:ascii="宋体" w:hAnsi="宋体"/>
          <w:sz w:val="24"/>
        </w:rPr>
        <w:t xml:space="preserve">运作方式、更换管理人或者托管人、终止《集合计划合同》、本集合计划与其他</w:t>
      </w:r>
      <w:r>
        <w:rPr>
          <w:rFonts w:ascii="宋体" w:hAnsi="宋体"/>
          <w:bCs/>
          <w:sz w:val="24"/>
        </w:rPr>
        <w:t xml:space="preserve">集合资产管理计划</w:t>
      </w:r>
      <w:r>
        <w:rPr>
          <w:rFonts w:ascii="宋体" w:hAnsi="宋体"/>
          <w:sz w:val="24"/>
        </w:rPr>
        <w:t xml:space="preserve">合并</w:t>
      </w:r>
      <w:r>
        <w:rPr>
          <w:rFonts w:ascii="宋体" w:hAnsi="宋体"/>
          <w:bCs/>
          <w:sz w:val="24"/>
        </w:rPr>
        <w:t xml:space="preserve">以特别决议通过方为有效。</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份额持有人大会采取记名方式进行投票表决。</w:t>
      </w:r>
      <w:r/>
    </w:p>
    <w:p>
      <w:pPr>
        <w:pStyle w:val="369"/>
        <w:ind w:firstLine="480"/>
        <w:snapToGrid w:val="1"/>
        <w:spacing w:lineRule="auto" w:line="360"/>
        <w:rPr>
          <w:rFonts w:ascii="宋体" w:hAnsi="宋体"/>
          <w:bCs/>
          <w:sz w:val="24"/>
        </w:rPr>
      </w:pPr>
      <w:r>
        <w:rPr>
          <w:rFonts w:ascii="宋体" w:hAnsi="宋体"/>
          <w:bCs/>
          <w:sz w:val="24"/>
        </w:rPr>
        <w:t xml:space="preserve">采取通讯方式进行表决时，除非在计票时有充分的相反证据证明，否则提交符合会议通知中规定的确认投资者身份文件的表决视为有效出席的投资者，表面符合会</w:t>
      </w:r>
      <w:r>
        <w:rPr>
          <w:rFonts w:ascii="宋体" w:hAnsi="宋体"/>
          <w:bCs/>
          <w:sz w:val="24"/>
        </w:rPr>
        <w:t xml:space="preserve">议通知规定的书面表决意见视为有效表决，表决意见模糊不清或相互矛盾的视为弃权表决，但应当计入出具</w:t>
      </w:r>
      <w:r>
        <w:rPr>
          <w:rFonts w:ascii="宋体" w:hAnsi="宋体"/>
          <w:bCs/>
          <w:sz w:val="24"/>
        </w:rPr>
        <w:t xml:space="preserve">书面</w:t>
      </w:r>
      <w:r>
        <w:rPr>
          <w:rFonts w:ascii="宋体" w:hAnsi="宋体"/>
          <w:bCs/>
          <w:sz w:val="24"/>
        </w:rPr>
        <w:t xml:space="preserve">意见的</w:t>
      </w:r>
      <w:r>
        <w:rPr>
          <w:rFonts w:ascii="宋体" w:hAnsi="宋体"/>
          <w:bCs/>
          <w:sz w:val="24"/>
        </w:rPr>
        <w:t xml:space="preserve">集合计划</w:t>
      </w:r>
      <w:r>
        <w:rPr>
          <w:rFonts w:ascii="宋体" w:hAnsi="宋体"/>
          <w:bCs/>
          <w:sz w:val="24"/>
        </w:rPr>
        <w:t xml:space="preserve">份额持有人所代表的</w:t>
      </w:r>
      <w:r>
        <w:rPr>
          <w:rFonts w:ascii="宋体" w:hAnsi="宋体"/>
          <w:bCs/>
          <w:sz w:val="24"/>
        </w:rPr>
        <w:t xml:space="preserve">集合计划</w:t>
      </w:r>
      <w:r>
        <w:rPr>
          <w:rFonts w:ascii="宋体" w:hAnsi="宋体"/>
          <w:bCs/>
          <w:sz w:val="24"/>
        </w:rPr>
        <w:t xml:space="preserve">份额总数。</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份额持有人大会的各项提案或同一项提案内并列的各项议题应当分开审议、逐项表决。</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七</w:t>
      </w:r>
      <w:r>
        <w:rPr>
          <w:rFonts w:ascii="宋体" w:hAnsi="宋体"/>
          <w:bCs/>
          <w:sz w:val="24"/>
        </w:rPr>
        <w:t xml:space="preserve">）计票</w:t>
      </w:r>
      <w:r/>
    </w:p>
    <w:p>
      <w:pPr>
        <w:pStyle w:val="369"/>
        <w:ind w:firstLine="480"/>
        <w:snapToGrid w:val="1"/>
        <w:spacing w:lineRule="auto" w:line="360"/>
        <w:rPr>
          <w:rFonts w:ascii="宋体" w:hAnsi="宋体"/>
          <w:bCs/>
          <w:sz w:val="24"/>
        </w:rPr>
      </w:pPr>
      <w:r>
        <w:rPr>
          <w:rFonts w:ascii="宋体" w:hAnsi="宋体"/>
          <w:bCs/>
          <w:sz w:val="24"/>
        </w:rPr>
        <w:t xml:space="preserve">1、现场开会</w:t>
      </w:r>
      <w:r/>
    </w:p>
    <w:p>
      <w:pPr>
        <w:pStyle w:val="369"/>
        <w:ind w:firstLine="480"/>
        <w:snapToGrid w:val="1"/>
        <w:spacing w:lineRule="auto" w:line="360"/>
        <w:rPr>
          <w:rFonts w:ascii="宋体" w:hAnsi="宋体"/>
          <w:bCs/>
          <w:sz w:val="24"/>
        </w:rPr>
      </w:pPr>
      <w:r>
        <w:rPr>
          <w:rFonts w:ascii="宋体" w:hAnsi="宋体"/>
          <w:bCs/>
          <w:sz w:val="24"/>
        </w:rPr>
        <w:t xml:space="preserve">（1）如大会由管理人或托管人召集，</w:t>
      </w:r>
      <w:r>
        <w:rPr>
          <w:rFonts w:ascii="宋体" w:hAnsi="宋体"/>
          <w:bCs/>
          <w:sz w:val="24"/>
        </w:rPr>
        <w:t xml:space="preserve">集合计划</w:t>
      </w:r>
      <w:r>
        <w:rPr>
          <w:rFonts w:ascii="宋体" w:hAnsi="宋体"/>
          <w:bCs/>
          <w:sz w:val="24"/>
        </w:rPr>
        <w:t xml:space="preserve">份额持有人大会的主持人应当在会议开始后宣布在出席会议的</w:t>
      </w:r>
      <w:r>
        <w:rPr>
          <w:rFonts w:ascii="宋体" w:hAnsi="宋体"/>
          <w:bCs/>
          <w:sz w:val="24"/>
        </w:rPr>
        <w:t xml:space="preserve">集合计划</w:t>
      </w:r>
      <w:r>
        <w:rPr>
          <w:rFonts w:ascii="宋体" w:hAnsi="宋体"/>
          <w:bCs/>
          <w:sz w:val="24"/>
        </w:rPr>
        <w:t xml:space="preserve">份额持有人和代理人中选举两名</w:t>
      </w:r>
      <w:r>
        <w:rPr>
          <w:rFonts w:ascii="宋体" w:hAnsi="宋体"/>
          <w:bCs/>
          <w:sz w:val="24"/>
        </w:rPr>
        <w:t xml:space="preserve">集合计划</w:t>
      </w:r>
      <w:r>
        <w:rPr>
          <w:rFonts w:ascii="宋体" w:hAnsi="宋体"/>
          <w:bCs/>
          <w:sz w:val="24"/>
        </w:rPr>
        <w:t xml:space="preserve">份额持有人代表与大会召集人授权的一名监督员共同担任监票人；如大会由</w:t>
      </w:r>
      <w:r>
        <w:rPr>
          <w:rFonts w:ascii="宋体" w:hAnsi="宋体"/>
          <w:bCs/>
          <w:sz w:val="24"/>
        </w:rPr>
        <w:t xml:space="preserve">集合计划</w:t>
      </w:r>
      <w:r>
        <w:rPr>
          <w:rFonts w:ascii="宋体" w:hAnsi="宋体"/>
          <w:bCs/>
          <w:sz w:val="24"/>
        </w:rPr>
        <w:t xml:space="preserve">份额持有人自行召集或大会虽然由管理人</w:t>
      </w:r>
      <w:r>
        <w:rPr>
          <w:rFonts w:ascii="宋体" w:hAnsi="宋体"/>
          <w:bCs/>
          <w:sz w:val="24"/>
        </w:rPr>
        <w:t xml:space="preserve">或托管人召集，但是管理人或托管人未出席大会的，</w:t>
      </w:r>
      <w:r>
        <w:rPr>
          <w:rFonts w:ascii="宋体" w:hAnsi="宋体"/>
          <w:bCs/>
          <w:sz w:val="24"/>
        </w:rPr>
        <w:t xml:space="preserve">集合计划</w:t>
      </w:r>
      <w:r>
        <w:rPr>
          <w:rFonts w:ascii="宋体" w:hAnsi="宋体"/>
          <w:bCs/>
          <w:sz w:val="24"/>
        </w:rPr>
        <w:t xml:space="preserve">份额持有人大会的主持人应当在会议开始后宣布在出席会议的</w:t>
      </w:r>
      <w:r>
        <w:rPr>
          <w:rFonts w:ascii="宋体" w:hAnsi="宋体"/>
          <w:bCs/>
          <w:sz w:val="24"/>
        </w:rPr>
        <w:t xml:space="preserve">集合计划</w:t>
      </w:r>
      <w:r>
        <w:rPr>
          <w:rFonts w:ascii="宋体" w:hAnsi="宋体"/>
          <w:bCs/>
          <w:sz w:val="24"/>
        </w:rPr>
        <w:t xml:space="preserve">份额持有人中选举三名</w:t>
      </w:r>
      <w:r>
        <w:rPr>
          <w:rFonts w:ascii="宋体" w:hAnsi="宋体"/>
          <w:bCs/>
          <w:sz w:val="24"/>
        </w:rPr>
        <w:t xml:space="preserve">集合计划</w:t>
      </w:r>
      <w:r>
        <w:rPr>
          <w:rFonts w:ascii="宋体" w:hAnsi="宋体"/>
          <w:bCs/>
          <w:sz w:val="24"/>
        </w:rPr>
        <w:t xml:space="preserve">份额持有人代表担任监票人。管理人或托管人不出席大会的，不影响计票的效力。</w:t>
      </w:r>
      <w:r/>
    </w:p>
    <w:p>
      <w:pPr>
        <w:pStyle w:val="369"/>
        <w:ind w:firstLine="480"/>
        <w:snapToGrid w:val="1"/>
        <w:spacing w:lineRule="auto" w:line="360"/>
        <w:rPr>
          <w:rFonts w:ascii="宋体" w:hAnsi="宋体"/>
          <w:bCs/>
          <w:sz w:val="24"/>
        </w:rPr>
      </w:pPr>
      <w:r>
        <w:rPr>
          <w:rFonts w:ascii="宋体" w:hAnsi="宋体"/>
          <w:bCs/>
          <w:sz w:val="24"/>
        </w:rPr>
        <w:t xml:space="preserve">（2）监票人应当在</w:t>
      </w:r>
      <w:r>
        <w:rPr>
          <w:rFonts w:ascii="宋体" w:hAnsi="宋体"/>
          <w:bCs/>
          <w:sz w:val="24"/>
        </w:rPr>
        <w:t xml:space="preserve">集合计划</w:t>
      </w:r>
      <w:r>
        <w:rPr>
          <w:rFonts w:ascii="宋体" w:hAnsi="宋体"/>
          <w:bCs/>
          <w:sz w:val="24"/>
        </w:rPr>
        <w:t xml:space="preserve">份额持有人表决后立即进行清点并由大会主持人当场公布计票结果。</w:t>
      </w:r>
      <w:r/>
    </w:p>
    <w:p>
      <w:pPr>
        <w:pStyle w:val="369"/>
        <w:ind w:firstLine="480"/>
        <w:snapToGrid w:val="1"/>
        <w:spacing w:lineRule="auto" w:line="360"/>
        <w:rPr>
          <w:rFonts w:ascii="宋体" w:hAnsi="宋体"/>
          <w:bCs/>
          <w:sz w:val="24"/>
        </w:rPr>
      </w:pPr>
      <w:r>
        <w:rPr>
          <w:rFonts w:ascii="宋体" w:hAnsi="宋体"/>
          <w:bCs/>
          <w:sz w:val="24"/>
        </w:rPr>
        <w:t xml:space="preserve">（3）如果会议主持人或</w:t>
      </w:r>
      <w:r>
        <w:rPr>
          <w:rFonts w:ascii="宋体" w:hAnsi="宋体"/>
          <w:bCs/>
          <w:sz w:val="24"/>
        </w:rPr>
        <w:t xml:space="preserve">集合计划</w:t>
      </w:r>
      <w:r>
        <w:rPr>
          <w:rFonts w:ascii="宋体" w:hAnsi="宋体"/>
          <w:bCs/>
          <w:sz w:val="24"/>
        </w:rPr>
        <w:t xml:space="preserve">份额持有人或代理人对于提交的表决结果有怀疑，可以在宣布表决结果后立即对所投票数要求进行重新清点。监票人应当进行重新清点，重新清点以一次为限。重新清点后，大会主持人应当当场公布重</w:t>
      </w:r>
      <w:r>
        <w:rPr>
          <w:rFonts w:ascii="宋体" w:hAnsi="宋体"/>
          <w:bCs/>
          <w:sz w:val="24"/>
        </w:rPr>
        <w:t xml:space="preserve">新清点结果。</w:t>
      </w:r>
      <w:r/>
    </w:p>
    <w:p>
      <w:pPr>
        <w:pStyle w:val="369"/>
        <w:ind w:firstLine="480"/>
        <w:snapToGrid w:val="1"/>
        <w:spacing w:lineRule="auto" w:line="360"/>
        <w:rPr>
          <w:rFonts w:ascii="宋体" w:hAnsi="宋体"/>
          <w:bCs/>
          <w:sz w:val="24"/>
        </w:rPr>
      </w:pPr>
      <w:r>
        <w:rPr>
          <w:rFonts w:ascii="宋体" w:hAnsi="宋体"/>
          <w:bCs/>
          <w:sz w:val="24"/>
        </w:rPr>
        <w:t xml:space="preserve">（4）计票过程应由公证机关予以公证</w:t>
      </w:r>
      <w:r>
        <w:rPr>
          <w:rFonts w:ascii="宋体" w:hAnsi="宋体"/>
          <w:bCs/>
          <w:sz w:val="24"/>
        </w:rPr>
        <w:t xml:space="preserve">，</w:t>
      </w:r>
      <w:r>
        <w:rPr>
          <w:rFonts w:ascii="宋体" w:hAnsi="宋体"/>
          <w:bCs/>
          <w:sz w:val="24"/>
        </w:rPr>
        <w:t xml:space="preserve">管理人或托管人拒不出席大会的，不影响计票的效力。</w:t>
      </w:r>
      <w:r/>
    </w:p>
    <w:p>
      <w:pPr>
        <w:pStyle w:val="369"/>
        <w:ind w:firstLine="480"/>
        <w:snapToGrid w:val="1"/>
        <w:spacing w:lineRule="auto" w:line="360"/>
        <w:rPr>
          <w:rFonts w:ascii="宋体" w:hAnsi="宋体"/>
          <w:bCs/>
          <w:sz w:val="24"/>
        </w:rPr>
      </w:pPr>
      <w:r>
        <w:rPr>
          <w:rFonts w:ascii="宋体" w:hAnsi="宋体"/>
          <w:bCs/>
          <w:sz w:val="24"/>
        </w:rPr>
        <w:t xml:space="preserve">2、通讯开会</w:t>
      </w:r>
      <w:r/>
    </w:p>
    <w:p>
      <w:pPr>
        <w:pStyle w:val="369"/>
        <w:ind w:firstLine="480"/>
        <w:snapToGrid w:val="1"/>
        <w:spacing w:lineRule="auto" w:line="360"/>
        <w:rPr>
          <w:rFonts w:ascii="宋体" w:hAnsi="宋体"/>
          <w:bCs/>
          <w:sz w:val="24"/>
        </w:rPr>
      </w:pPr>
      <w:r>
        <w:rPr>
          <w:rFonts w:ascii="宋体" w:hAnsi="宋体"/>
          <w:bCs/>
          <w:sz w:val="24"/>
        </w:rPr>
        <w:t xml:space="preserve">在通讯开会的情况下，计票方式为：由大会召集人授权的两名监督员在托管人授权代表（若由托管人召集，则为管理人授权代表）的监督下进行计票，并由公证机关对其计票过程予以公证。管理人或托管人拒派代表对书面表决意见的计票进行监督的，不影响计票和表决结果。</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八</w:t>
      </w:r>
      <w:r>
        <w:rPr>
          <w:rFonts w:ascii="宋体" w:hAnsi="宋体"/>
          <w:bCs/>
          <w:sz w:val="24"/>
        </w:rPr>
        <w:t xml:space="preserve">）生效与公告</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份额持有人大会的决议，召集人应当自通过之日起</w:t>
      </w:r>
      <w:r>
        <w:rPr>
          <w:rFonts w:ascii="宋体" w:hAnsi="宋体"/>
          <w:bCs/>
          <w:sz w:val="24"/>
        </w:rPr>
        <w:t xml:space="preserve">5</w:t>
      </w:r>
      <w:r>
        <w:rPr>
          <w:rFonts w:ascii="宋体" w:hAnsi="宋体"/>
          <w:bCs/>
          <w:sz w:val="24"/>
        </w:rPr>
        <w:t xml:space="preserve">日内报中国证监会备案。</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份额持有人大会的决议自表决通过之日起生效。</w:t>
      </w:r>
      <w:r/>
    </w:p>
    <w:p>
      <w:pPr>
        <w:pStyle w:val="369"/>
        <w:ind w:firstLine="480"/>
        <w:snapToGrid w:val="1"/>
        <w:spacing w:lineRule="auto" w:line="360"/>
        <w:rPr>
          <w:rFonts w:ascii="宋体" w:hAnsi="宋体"/>
          <w:bCs/>
          <w:sz w:val="24"/>
        </w:rPr>
      </w:pPr>
      <w:r>
        <w:rPr>
          <w:rFonts w:ascii="宋体" w:hAnsi="宋体"/>
          <w:bCs/>
          <w:sz w:val="24"/>
        </w:rPr>
        <w:t xml:space="preserve">集合计</w:t>
      </w:r>
      <w:r>
        <w:rPr>
          <w:rFonts w:ascii="宋体" w:hAnsi="宋体"/>
          <w:bCs/>
          <w:sz w:val="24"/>
        </w:rPr>
        <w:t xml:space="preserve">划</w:t>
      </w:r>
      <w:r>
        <w:rPr>
          <w:rFonts w:ascii="宋体" w:hAnsi="宋体"/>
          <w:bCs/>
          <w:sz w:val="24"/>
        </w:rPr>
        <w:t xml:space="preserve">份额持有人大会决议自生效之日起</w:t>
      </w:r>
      <w:r>
        <w:rPr>
          <w:rFonts w:ascii="宋体" w:hAnsi="宋体"/>
          <w:bCs/>
          <w:sz w:val="24"/>
        </w:rPr>
        <w:t xml:space="preserve">2</w:t>
      </w:r>
      <w:r>
        <w:rPr>
          <w:rFonts w:ascii="宋体" w:hAnsi="宋体"/>
          <w:bCs/>
          <w:sz w:val="24"/>
        </w:rPr>
        <w:t xml:space="preserve">日内在</w:t>
      </w:r>
      <w:r>
        <w:rPr>
          <w:rFonts w:ascii="宋体" w:hAnsi="宋体"/>
          <w:bCs/>
          <w:sz w:val="24"/>
        </w:rPr>
        <w:t xml:space="preserve">规定媒介</w:t>
      </w:r>
      <w:r>
        <w:rPr>
          <w:rFonts w:ascii="宋体" w:hAnsi="宋体"/>
          <w:bCs/>
          <w:sz w:val="24"/>
        </w:rPr>
        <w:t xml:space="preserve">上公告。如果采用通讯方式进行表决，在公告</w:t>
      </w:r>
      <w:r>
        <w:rPr>
          <w:rFonts w:ascii="宋体" w:hAnsi="宋体"/>
          <w:bCs/>
          <w:sz w:val="24"/>
        </w:rPr>
        <w:t xml:space="preserve">集合计划</w:t>
      </w:r>
      <w:r>
        <w:rPr>
          <w:rFonts w:ascii="宋体" w:hAnsi="宋体"/>
          <w:bCs/>
          <w:sz w:val="24"/>
        </w:rPr>
        <w:t xml:space="preserve">份额持有人大会决议时，必须将公证书全文、公证机构、公证员姓名等一同公告。</w:t>
      </w:r>
      <w:r/>
    </w:p>
    <w:p>
      <w:pPr>
        <w:pStyle w:val="369"/>
        <w:ind w:firstLine="480"/>
        <w:snapToGrid w:val="1"/>
        <w:spacing w:lineRule="auto" w:line="360"/>
        <w:rPr>
          <w:rFonts w:ascii="宋体" w:hAnsi="宋体"/>
          <w:bCs/>
          <w:sz w:val="24"/>
        </w:rPr>
      </w:pPr>
      <w:r>
        <w:rPr>
          <w:rFonts w:ascii="宋体" w:hAnsi="宋体"/>
          <w:bCs/>
          <w:sz w:val="24"/>
        </w:rPr>
        <w:t xml:space="preserve">管理人、托管人和</w:t>
      </w:r>
      <w:r>
        <w:rPr>
          <w:rFonts w:ascii="宋体" w:hAnsi="宋体"/>
          <w:bCs/>
          <w:sz w:val="24"/>
        </w:rPr>
        <w:t xml:space="preserve">集合计划</w:t>
      </w:r>
      <w:r>
        <w:rPr>
          <w:rFonts w:ascii="宋体" w:hAnsi="宋体"/>
          <w:bCs/>
          <w:sz w:val="24"/>
        </w:rPr>
        <w:t xml:space="preserve">份额持有人应当执行生效的</w:t>
      </w:r>
      <w:r>
        <w:rPr>
          <w:rFonts w:ascii="宋体" w:hAnsi="宋体"/>
          <w:bCs/>
          <w:sz w:val="24"/>
        </w:rPr>
        <w:t xml:space="preserve">集合计划</w:t>
      </w:r>
      <w:r>
        <w:rPr>
          <w:rFonts w:ascii="宋体" w:hAnsi="宋体"/>
          <w:bCs/>
          <w:sz w:val="24"/>
        </w:rPr>
        <w:t xml:space="preserve">份额持有人大会的决议。生效的</w:t>
      </w:r>
      <w:r>
        <w:rPr>
          <w:rFonts w:ascii="宋体" w:hAnsi="宋体"/>
          <w:bCs/>
          <w:sz w:val="24"/>
        </w:rPr>
        <w:t xml:space="preserve">集合计划</w:t>
      </w:r>
      <w:r>
        <w:rPr>
          <w:rFonts w:ascii="宋体" w:hAnsi="宋体"/>
          <w:bCs/>
          <w:sz w:val="24"/>
        </w:rPr>
        <w:t xml:space="preserve">份额持有人大会决议对全体</w:t>
      </w:r>
      <w:r>
        <w:rPr>
          <w:rFonts w:ascii="宋体" w:hAnsi="宋体"/>
          <w:bCs/>
          <w:sz w:val="24"/>
        </w:rPr>
        <w:t xml:space="preserve">集合计划</w:t>
      </w:r>
      <w:r>
        <w:rPr>
          <w:rFonts w:ascii="宋体" w:hAnsi="宋体"/>
          <w:bCs/>
          <w:sz w:val="24"/>
        </w:rPr>
        <w:t xml:space="preserve">份额持有人、管理人、托管人均有约束力。</w:t>
      </w:r>
      <w:r/>
    </w:p>
    <w:p>
      <w:pPr>
        <w:pStyle w:val="369"/>
        <w:ind w:firstLine="480"/>
        <w:snapToGrid w:val="1"/>
        <w:spacing w:lineRule="auto" w:line="360"/>
        <w:rPr>
          <w:rFonts w:ascii="宋体" w:hAnsi="宋体"/>
          <w:bCs/>
          <w:sz w:val="24"/>
        </w:rPr>
      </w:pPr>
      <w:r>
        <w:rPr>
          <w:rFonts w:ascii="宋体" w:hAnsi="宋体"/>
          <w:bCs/>
          <w:sz w:val="24"/>
        </w:rPr>
        <w:t xml:space="preserve">（九）实施侧袋机制期间集合计划份额持有人大会的特殊约定</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若本集合计划实施侧袋机制，本部分和“管理人、托管人的更换条件和程序”部分约定的以下情形中的相关集合计划份额或表决权的比例均</w:t>
      </w:r>
      <w:r>
        <w:rPr>
          <w:rFonts w:ascii="宋体" w:hAnsi="宋体"/>
          <w:bCs/>
          <w:sz w:val="24"/>
        </w:rPr>
        <w:t xml:space="preserve">指主袋份额持有人和侧袋份额持有人分别持有或代表的集合计划份额或表决权符合该等比例，但若相关集合计划份额持有人大会召集和审议事项不涉及侧袋账户的，则仅指主袋份额持有人持有或代表的集合计划份额或表决权符合该等比例：</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1、集合计划份额持有人行使提议权、召集权、提名权所需单独或合计代表相关集合计划份额10%以上（含10%）；</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2、现场开会的到会者在权益登记日代表的集合计划份额不少于本集合计划在权益登记日相关集合计划份额的二分之一（含二分之一）；</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3、通讯开会的直接出具书面意见或授权他人代表出具书面意见的集合计划份额</w:t>
      </w:r>
      <w:r>
        <w:rPr>
          <w:rFonts w:ascii="宋体" w:hAnsi="宋体"/>
          <w:bCs/>
          <w:sz w:val="24"/>
        </w:rPr>
        <w:t xml:space="preserve">持有人所持有的集合计划份额不小于在权益登记日相关集合计划份额的二分之一（含二分之一）；</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4、在参与集合计划份额持有人大会投票的集合计划份额持有人所持有的集合计划份额小于在权益登记日相关集合计划份额的二分之一、召集人在原公告的集合计划份额持有人大会召开时间的 3 个月以后、6 个月以内就原定审议事项重新召集的集合计划份额持有人大会应当有代表三分之一以上（含三分之一）相关集合计划份额的持有人参与或授权他人参与集合计划份额持有人大会投票；</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5、现场开会由出席大会的集合计划份额持有人和代理人所持表决权的50%以上（</w:t>
      </w:r>
      <w:r>
        <w:rPr>
          <w:rFonts w:ascii="宋体" w:hAnsi="宋体"/>
          <w:bCs/>
          <w:sz w:val="24"/>
        </w:rPr>
        <w:t xml:space="preserve">含50%）选举产生一名集合计划份额持有人作为该次集合计划份额持有人大会的主持人；</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6、一般决议须经参加大会的集合计划份额持有人或其代理人所持表决权的二分之一以上（含二分之一）通过；</w:t>
      </w:r>
      <w:r>
        <w:rPr>
          <w:rFonts w:ascii="宋体" w:hAnsi="宋体"/>
          <w:bCs/>
          <w:sz w:val="24"/>
        </w:rPr>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7、特别决议应当经参加大会的集合计划份额持有人或其代理人所持表决权的三分之二以上（含三分之二）通过。</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同一主侧袋账户内的每份集合计划份额具有平等的表决权。</w:t>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（十）本部分关于集合计划份额持有人大会召开事由、召开条件、议事程序、表决条件等规定，凡是直接引用法律法规或监管规则的部分，如将来法律法规或监管规则修改导致相关内容被取消或变更</w:t>
      </w:r>
      <w:r>
        <w:rPr>
          <w:rFonts w:ascii="宋体" w:hAnsi="宋体"/>
          <w:bCs/>
          <w:sz w:val="24"/>
        </w:rPr>
        <w:t xml:space="preserve">的，管理人与托管人协商一致并提前公告后，可直接对本部分内容进行修改和调整，无需召开集合计划份额持有人大会审议。</w:t>
      </w:r>
      <w:r/>
    </w:p>
    <w:p>
      <w:pPr>
        <w:pStyle w:val="369"/>
        <w:ind w:firstLine="480"/>
        <w:snapToGrid w:val="1"/>
        <w:spacing w:lineRule="auto" w:line="360"/>
        <w:rPr>
          <w:rFonts w:ascii="宋体" w:hAnsi="宋体"/>
          <w:bCs/>
          <w:sz w:val="24"/>
        </w:rPr>
      </w:pPr>
      <w:r>
        <w:rPr>
          <w:rFonts w:ascii="宋体" w:hAnsi="宋体"/>
          <w:bCs/>
          <w:sz w:val="24"/>
        </w:rPr>
        <w:t xml:space="preserve">三、集合计划收益分配原则、执行方式</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一</w:t>
      </w:r>
      <w:r>
        <w:rPr>
          <w:rFonts w:ascii="宋体" w:hAnsi="宋体"/>
          <w:bCs/>
          <w:sz w:val="24"/>
        </w:rPr>
        <w:t xml:space="preserve">）</w:t>
      </w:r>
      <w:r>
        <w:rPr>
          <w:rFonts w:ascii="宋体" w:hAnsi="宋体"/>
          <w:bCs/>
          <w:sz w:val="24"/>
        </w:rPr>
        <w:t xml:space="preserve">集合计划</w:t>
      </w:r>
      <w:r>
        <w:rPr>
          <w:rFonts w:ascii="宋体" w:hAnsi="宋体"/>
          <w:bCs/>
          <w:sz w:val="24"/>
        </w:rPr>
        <w:t xml:space="preserve">利润的构成</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利润指</w:t>
      </w:r>
      <w:r>
        <w:rPr>
          <w:rFonts w:ascii="宋体" w:hAnsi="宋体"/>
          <w:bCs/>
          <w:sz w:val="24"/>
        </w:rPr>
        <w:t xml:space="preserve">集合计划</w:t>
      </w:r>
      <w:r>
        <w:rPr>
          <w:rFonts w:ascii="宋体" w:hAnsi="宋体"/>
          <w:bCs/>
          <w:sz w:val="24"/>
        </w:rPr>
        <w:t xml:space="preserve">利息收入、投资收益、公允价值变动收益和其他收入扣除相关费用后的余额，</w:t>
      </w:r>
      <w:r>
        <w:rPr>
          <w:rFonts w:ascii="宋体" w:hAnsi="宋体"/>
          <w:bCs/>
          <w:sz w:val="24"/>
        </w:rPr>
        <w:t xml:space="preserve">集合计划</w:t>
      </w:r>
      <w:r>
        <w:rPr>
          <w:rFonts w:ascii="宋体" w:hAnsi="宋体"/>
          <w:bCs/>
          <w:sz w:val="24"/>
        </w:rPr>
        <w:t xml:space="preserve">已实现收益指</w:t>
      </w:r>
      <w:r>
        <w:rPr>
          <w:rFonts w:ascii="宋体" w:hAnsi="宋体"/>
          <w:bCs/>
          <w:sz w:val="24"/>
        </w:rPr>
        <w:t xml:space="preserve">集合计划</w:t>
      </w:r>
      <w:r>
        <w:rPr>
          <w:rFonts w:ascii="宋体" w:hAnsi="宋体"/>
          <w:bCs/>
          <w:sz w:val="24"/>
        </w:rPr>
        <w:t xml:space="preserve">利润减去公允价值变动收益后的余额。</w:t>
      </w:r>
      <w:r/>
    </w:p>
    <w:p>
      <w:pPr>
        <w:pStyle w:val="369"/>
        <w:ind w:firstLine="54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二</w:t>
      </w:r>
      <w:r>
        <w:rPr>
          <w:rFonts w:ascii="宋体" w:hAnsi="宋体"/>
          <w:bCs/>
          <w:sz w:val="24"/>
        </w:rPr>
        <w:t xml:space="preserve">）</w:t>
      </w:r>
      <w:r>
        <w:rPr>
          <w:rFonts w:ascii="宋体" w:hAnsi="宋体"/>
          <w:bCs/>
          <w:sz w:val="24"/>
        </w:rPr>
        <w:t xml:space="preserve">集合计划</w:t>
      </w:r>
      <w:r>
        <w:rPr>
          <w:rFonts w:ascii="宋体" w:hAnsi="宋体"/>
          <w:bCs/>
          <w:sz w:val="24"/>
        </w:rPr>
        <w:t xml:space="preserve">可供分配利润</w:t>
      </w:r>
      <w:r/>
    </w:p>
    <w:p>
      <w:pPr>
        <w:pStyle w:val="369"/>
        <w:ind w:firstLine="54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可供分配利润指截至收益分配基准日</w:t>
      </w:r>
      <w:r>
        <w:rPr>
          <w:rFonts w:ascii="宋体" w:hAnsi="宋体"/>
          <w:bCs/>
          <w:sz w:val="24"/>
        </w:rPr>
        <w:t xml:space="preserve">集合计划</w:t>
      </w:r>
      <w:r>
        <w:rPr>
          <w:rFonts w:ascii="宋体" w:hAnsi="宋体"/>
          <w:bCs/>
          <w:sz w:val="24"/>
        </w:rPr>
        <w:t xml:space="preserve">未分配利润与未分配利润中已实现收益的孰低数。</w:t>
      </w:r>
      <w:r/>
    </w:p>
    <w:p>
      <w:pPr>
        <w:pStyle w:val="369"/>
        <w:ind w:firstLine="54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三</w:t>
      </w:r>
      <w:r>
        <w:rPr>
          <w:rFonts w:ascii="宋体" w:hAnsi="宋体"/>
          <w:bCs/>
          <w:sz w:val="24"/>
        </w:rPr>
        <w:t xml:space="preserve">）</w:t>
      </w:r>
      <w:r>
        <w:rPr>
          <w:rFonts w:ascii="宋体" w:hAnsi="宋体"/>
          <w:bCs/>
          <w:sz w:val="24"/>
        </w:rPr>
        <w:t xml:space="preserve">集合计划</w:t>
      </w:r>
      <w:r>
        <w:rPr>
          <w:rFonts w:ascii="宋体" w:hAnsi="宋体"/>
          <w:bCs/>
          <w:sz w:val="24"/>
        </w:rPr>
        <w:t xml:space="preserve">收益分配原则</w:t>
      </w:r>
      <w:r/>
    </w:p>
    <w:p>
      <w:pPr>
        <w:pStyle w:val="369"/>
        <w:ind w:firstLine="540"/>
        <w:snapToGrid w:val="1"/>
        <w:spacing w:lineRule="auto" w:line="360"/>
        <w:rPr>
          <w:rFonts w:ascii="宋体" w:hAnsi="宋体"/>
          <w:bCs/>
          <w:sz w:val="24"/>
        </w:rPr>
      </w:pPr>
      <w:r>
        <w:rPr>
          <w:rFonts w:ascii="宋体" w:hAnsi="宋体"/>
          <w:bCs/>
          <w:sz w:val="24"/>
        </w:rPr>
        <w:t xml:space="preserve">1、在符合有关</w:t>
      </w:r>
      <w:r>
        <w:rPr>
          <w:rFonts w:ascii="宋体" w:hAnsi="宋体"/>
          <w:bCs/>
          <w:sz w:val="24"/>
        </w:rPr>
        <w:t xml:space="preserve">集合计划</w:t>
      </w:r>
      <w:r>
        <w:rPr>
          <w:rFonts w:ascii="宋体" w:hAnsi="宋体"/>
          <w:bCs/>
          <w:sz w:val="24"/>
        </w:rPr>
        <w:t xml:space="preserve">分红条件的前</w:t>
      </w:r>
      <w:r>
        <w:rPr>
          <w:rFonts w:ascii="宋体" w:hAnsi="宋体"/>
          <w:bCs/>
          <w:sz w:val="24"/>
        </w:rPr>
        <w:t xml:space="preserve">提下，</w:t>
      </w:r>
      <w:r>
        <w:rPr>
          <w:rFonts w:ascii="宋体" w:hAnsi="宋体"/>
          <w:sz w:val="24"/>
        </w:rPr>
        <w:t xml:space="preserve">本集合计划</w:t>
      </w:r>
      <w:r>
        <w:rPr>
          <w:rFonts w:ascii="宋体" w:hAnsi="宋体"/>
          <w:bCs/>
          <w:sz w:val="24"/>
        </w:rPr>
        <w:t xml:space="preserve">可以根据实际情况进行收益分配，具体分配方案以公告为准</w:t>
      </w:r>
      <w:r>
        <w:rPr>
          <w:rFonts w:ascii="宋体" w:hAnsi="宋体"/>
          <w:bCs/>
          <w:sz w:val="24"/>
        </w:rPr>
        <w:t xml:space="preserve">；</w:t>
      </w:r>
      <w:r/>
    </w:p>
    <w:p>
      <w:pPr>
        <w:pStyle w:val="369"/>
        <w:ind w:firstLine="540"/>
        <w:snapToGrid w:val="1"/>
        <w:spacing w:lineRule="auto" w:line="360"/>
        <w:rPr>
          <w:rFonts w:ascii="宋体" w:hAnsi="宋体"/>
          <w:bCs/>
          <w:sz w:val="24"/>
        </w:rPr>
      </w:pPr>
      <w:r>
        <w:rPr>
          <w:rFonts w:ascii="宋体" w:hAnsi="宋体"/>
          <w:bCs/>
          <w:sz w:val="24"/>
        </w:rPr>
        <w:t xml:space="preserve">2、本集合计划收益分配方式分两种：现金分红与红利再投资，投资者可选择现金红利或将现金红利自动转为</w:t>
      </w:r>
      <w:r>
        <w:rPr>
          <w:rFonts w:ascii="宋体" w:hAnsi="宋体"/>
          <w:bCs/>
          <w:sz w:val="24"/>
        </w:rPr>
        <w:t xml:space="preserve">集合计划</w:t>
      </w:r>
      <w:r>
        <w:rPr>
          <w:rFonts w:ascii="宋体" w:hAnsi="宋体"/>
          <w:bCs/>
          <w:sz w:val="24"/>
        </w:rPr>
        <w:t xml:space="preserve">份额进行再投资；若投资者不选择，本集合计划默认的收益分配方式是现金分红；</w:t>
      </w:r>
      <w:r/>
    </w:p>
    <w:p>
      <w:pPr>
        <w:pStyle w:val="369"/>
        <w:ind w:firstLine="54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集合计划</w:t>
      </w:r>
      <w:r>
        <w:rPr>
          <w:rFonts w:ascii="宋体" w:hAnsi="宋体"/>
          <w:bCs/>
          <w:sz w:val="24"/>
        </w:rPr>
        <w:t xml:space="preserve">收益分配后集合计划份额净值不能低于面值，即</w:t>
      </w:r>
      <w:r>
        <w:rPr>
          <w:rFonts w:ascii="宋体" w:hAnsi="宋体"/>
          <w:bCs/>
          <w:sz w:val="24"/>
        </w:rPr>
        <w:t xml:space="preserve">集合计划</w:t>
      </w:r>
      <w:r>
        <w:rPr>
          <w:rFonts w:ascii="宋体" w:hAnsi="宋体"/>
          <w:bCs/>
          <w:sz w:val="24"/>
        </w:rPr>
        <w:t xml:space="preserve">收益分配基准日的集合计划份额净值减去每单位</w:t>
      </w:r>
      <w:r>
        <w:rPr>
          <w:rFonts w:ascii="宋体" w:hAnsi="宋体"/>
          <w:bCs/>
          <w:sz w:val="24"/>
        </w:rPr>
        <w:t xml:space="preserve">集合计划</w:t>
      </w:r>
      <w:r>
        <w:rPr>
          <w:rFonts w:ascii="宋体" w:hAnsi="宋体"/>
          <w:bCs/>
          <w:sz w:val="24"/>
        </w:rPr>
        <w:t xml:space="preserve">份额收益分配金额后不能低于面值；</w:t>
      </w:r>
      <w:r>
        <w:rPr>
          <w:rFonts w:ascii="宋体" w:hAnsi="宋体"/>
          <w:bCs/>
          <w:sz w:val="24"/>
        </w:rPr>
      </w:r>
      <w:r/>
    </w:p>
    <w:p>
      <w:pPr>
        <w:pStyle w:val="369"/>
        <w:ind w:firstLine="540"/>
        <w:snapToGrid w:val="1"/>
        <w:spacing w:lineRule="auto" w:line="360"/>
        <w:rPr>
          <w:rFonts w:ascii="宋体" w:hAnsi="宋体"/>
          <w:bCs/>
          <w:sz w:val="24"/>
        </w:rPr>
      </w:pPr>
      <w:r>
        <w:rPr>
          <w:rFonts w:ascii="宋体" w:hAnsi="宋体"/>
          <w:bCs/>
          <w:sz w:val="24"/>
        </w:rPr>
        <w:t xml:space="preserve">4、每一</w:t>
      </w:r>
      <w:r>
        <w:rPr>
          <w:rFonts w:ascii="宋体" w:hAnsi="宋体"/>
          <w:bCs/>
          <w:sz w:val="24"/>
        </w:rPr>
        <w:t xml:space="preserve">集合计划</w:t>
      </w:r>
      <w:r>
        <w:rPr>
          <w:rFonts w:ascii="宋体" w:hAnsi="宋体"/>
          <w:bCs/>
          <w:sz w:val="24"/>
        </w:rPr>
        <w:t xml:space="preserve">份额享有同等分配权；</w:t>
      </w:r>
      <w:r/>
    </w:p>
    <w:p>
      <w:pPr>
        <w:pStyle w:val="369"/>
        <w:ind w:firstLine="540"/>
        <w:snapToGrid w:val="1"/>
        <w:spacing w:lineRule="auto" w:line="360"/>
        <w:rPr>
          <w:rFonts w:ascii="宋体" w:hAnsi="宋体"/>
          <w:bCs/>
          <w:sz w:val="24"/>
        </w:rPr>
      </w:pPr>
      <w:r>
        <w:rPr>
          <w:rFonts w:ascii="宋体" w:hAnsi="宋体"/>
          <w:bCs/>
          <w:sz w:val="24"/>
        </w:rPr>
        <w:t xml:space="preserve">5、法律法规或监管机关另有规定的，从其规定。</w:t>
      </w:r>
      <w:r>
        <w:rPr>
          <w:rFonts w:ascii="宋体" w:hAnsi="宋体"/>
          <w:bCs/>
          <w:sz w:val="24"/>
        </w:rPr>
      </w:r>
      <w:r/>
    </w:p>
    <w:p>
      <w:pPr>
        <w:pStyle w:val="369"/>
        <w:ind w:firstLine="54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四</w:t>
      </w:r>
      <w:r>
        <w:rPr>
          <w:rFonts w:ascii="宋体" w:hAnsi="宋体"/>
          <w:bCs/>
          <w:sz w:val="24"/>
        </w:rPr>
        <w:t xml:space="preserve">）收益分配方案</w:t>
      </w:r>
      <w:r/>
    </w:p>
    <w:p>
      <w:pPr>
        <w:pStyle w:val="369"/>
        <w:ind w:firstLine="540"/>
        <w:snapToGrid w:val="1"/>
        <w:spacing w:lineRule="auto" w:line="360"/>
        <w:rPr>
          <w:rFonts w:ascii="宋体" w:hAnsi="宋体"/>
          <w:bCs/>
          <w:sz w:val="24"/>
        </w:rPr>
      </w:pPr>
      <w:r>
        <w:rPr>
          <w:rFonts w:ascii="宋体" w:hAnsi="宋体"/>
          <w:bCs/>
          <w:sz w:val="24"/>
        </w:rPr>
        <w:t xml:space="preserve">收益分配方案</w:t>
      </w:r>
      <w:r>
        <w:rPr>
          <w:rFonts w:ascii="宋体" w:hAnsi="宋体"/>
          <w:bCs/>
          <w:sz w:val="24"/>
        </w:rPr>
        <w:t xml:space="preserve">中应载明截止收益分配基准日的可供分配利润、收益分配对象、分配时间、分配数额及比例、分配方式等内容。</w:t>
      </w:r>
      <w:r/>
    </w:p>
    <w:p>
      <w:pPr>
        <w:pStyle w:val="369"/>
        <w:ind w:firstLine="54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五</w:t>
      </w:r>
      <w:r>
        <w:rPr>
          <w:rFonts w:ascii="宋体" w:hAnsi="宋体"/>
          <w:bCs/>
          <w:sz w:val="24"/>
        </w:rPr>
        <w:t xml:space="preserve">）收益分配方案的确定、公告与实施</w:t>
      </w:r>
      <w:r>
        <w:rPr>
          <w:rFonts w:ascii="宋体" w:hAnsi="宋体"/>
          <w:bCs/>
          <w:sz w:val="24"/>
        </w:rPr>
      </w:r>
      <w:r/>
    </w:p>
    <w:p>
      <w:pPr>
        <w:pStyle w:val="369"/>
        <w:ind w:firstLine="540"/>
        <w:snapToGrid w:val="1"/>
        <w:spacing w:lineRule="auto" w:line="360"/>
        <w:rPr>
          <w:rFonts w:ascii="宋体" w:hAnsi="宋体"/>
          <w:bCs/>
          <w:sz w:val="24"/>
        </w:rPr>
      </w:pPr>
      <w:r>
        <w:rPr>
          <w:rFonts w:ascii="宋体" w:hAnsi="宋体"/>
          <w:bCs/>
          <w:sz w:val="24"/>
        </w:rPr>
        <w:t xml:space="preserve">本集合计划收益分配方案由管理人拟定，并由托管人复核，在2日内在规定媒介公告。</w:t>
      </w:r>
      <w:r/>
    </w:p>
    <w:p>
      <w:pPr>
        <w:pStyle w:val="369"/>
        <w:ind w:firstLine="54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六</w:t>
      </w:r>
      <w:r>
        <w:rPr>
          <w:rFonts w:ascii="宋体" w:hAnsi="宋体"/>
          <w:bCs/>
          <w:sz w:val="24"/>
        </w:rPr>
        <w:t xml:space="preserve">）</w:t>
      </w:r>
      <w:r>
        <w:rPr>
          <w:rFonts w:ascii="宋体" w:hAnsi="宋体"/>
          <w:bCs/>
          <w:sz w:val="24"/>
        </w:rPr>
        <w:t xml:space="preserve">集合计划</w:t>
      </w:r>
      <w:r>
        <w:rPr>
          <w:rFonts w:ascii="宋体" w:hAnsi="宋体"/>
          <w:bCs/>
          <w:sz w:val="24"/>
        </w:rPr>
        <w:t xml:space="preserve">收益分配中发生的费用</w:t>
      </w:r>
      <w:r/>
    </w:p>
    <w:p>
      <w:pPr>
        <w:pStyle w:val="369"/>
        <w:ind w:firstLine="54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收益分配时所发生的银行转账或其他手续费用由投资者自行承担。当投资者的现金红利小于一定金额，不足</w:t>
      </w:r>
      <w:r>
        <w:rPr>
          <w:rFonts w:ascii="宋体" w:hAnsi="宋体"/>
          <w:bCs/>
          <w:sz w:val="24"/>
        </w:rPr>
        <w:t xml:space="preserve">以</w:t>
      </w:r>
      <w:r>
        <w:rPr>
          <w:rFonts w:ascii="宋体" w:hAnsi="宋体"/>
          <w:bCs/>
          <w:sz w:val="24"/>
        </w:rPr>
        <w:t xml:space="preserve">支付银行转账或其他手续费用时，集合计划登记机构可将集合计划份额持有人的现金红利自动转为</w:t>
      </w:r>
      <w:r>
        <w:rPr>
          <w:rFonts w:ascii="宋体" w:hAnsi="宋体"/>
          <w:bCs/>
          <w:sz w:val="24"/>
        </w:rPr>
        <w:t xml:space="preserve">集合计划</w:t>
      </w:r>
      <w:r>
        <w:rPr>
          <w:rFonts w:ascii="宋体" w:hAnsi="宋体"/>
          <w:bCs/>
          <w:sz w:val="24"/>
        </w:rPr>
        <w:t xml:space="preserve">份额。红利再投资的计算方法，依照《业务规则》执行。</w:t>
      </w:r>
      <w:r/>
    </w:p>
    <w:p>
      <w:pPr>
        <w:pStyle w:val="369"/>
        <w:ind w:firstLine="540"/>
        <w:snapToGrid w:val="1"/>
        <w:spacing w:lineRule="auto" w:line="360"/>
        <w:rPr>
          <w:rFonts w:ascii="宋体" w:hAnsi="宋体"/>
          <w:bCs/>
          <w:sz w:val="24"/>
        </w:rPr>
      </w:pPr>
      <w:r>
        <w:rPr>
          <w:rFonts w:ascii="宋体" w:hAnsi="宋体"/>
          <w:bCs/>
          <w:sz w:val="24"/>
        </w:rPr>
        <w:t xml:space="preserve">（七）实施</w:t>
      </w:r>
      <w:r>
        <w:rPr>
          <w:rFonts w:ascii="宋体" w:hAnsi="宋体"/>
          <w:bCs/>
          <w:sz w:val="24"/>
        </w:rPr>
        <w:t xml:space="preserve">侧袋机制期间的收益分配</w:t>
      </w:r>
      <w:r>
        <w:rPr>
          <w:rFonts w:ascii="宋体" w:hAnsi="宋体"/>
          <w:bCs/>
          <w:sz w:val="24"/>
        </w:rPr>
      </w:r>
      <w:r/>
    </w:p>
    <w:p>
      <w:pPr>
        <w:pStyle w:val="369"/>
        <w:ind w:firstLine="540"/>
        <w:snapToGrid w:val="1"/>
        <w:spacing w:lineRule="auto" w:line="360"/>
        <w:rPr>
          <w:rFonts w:ascii="宋体" w:hAnsi="宋体"/>
          <w:bCs/>
          <w:sz w:val="24"/>
        </w:rPr>
      </w:pPr>
      <w:r>
        <w:rPr>
          <w:rFonts w:ascii="宋体" w:hAnsi="宋体"/>
          <w:bCs/>
          <w:sz w:val="24"/>
        </w:rPr>
        <w:t xml:space="preserve">本集合计划实施侧袋机制的，侧袋账户不进行收益分配，详见招募说明书的规定。</w:t>
      </w:r>
      <w:r>
        <w:rPr>
          <w:rFonts w:ascii="宋体" w:hAnsi="宋体"/>
          <w:bCs/>
          <w:sz w:val="24"/>
        </w:rPr>
      </w:r>
      <w:r/>
    </w:p>
    <w:p>
      <w:pPr>
        <w:pStyle w:val="369"/>
        <w:ind w:firstLine="540"/>
        <w:snapToGrid w:val="1"/>
        <w:spacing w:lineRule="auto" w:line="360"/>
        <w:rPr>
          <w:rFonts w:ascii="宋体" w:hAnsi="宋体"/>
          <w:bCs/>
          <w:sz w:val="24"/>
        </w:rPr>
      </w:pPr>
      <w:r>
        <w:rPr>
          <w:rFonts w:ascii="宋体" w:hAnsi="宋体"/>
          <w:bCs/>
          <w:sz w:val="24"/>
        </w:rPr>
        <w:t xml:space="preserve">四、集合计划费用与税收</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一</w:t>
      </w:r>
      <w:r>
        <w:rPr>
          <w:rFonts w:ascii="宋体" w:hAnsi="宋体"/>
          <w:bCs/>
          <w:sz w:val="24"/>
        </w:rPr>
        <w:t xml:space="preserve">）</w:t>
      </w:r>
      <w:r>
        <w:rPr>
          <w:rFonts w:ascii="宋体" w:hAnsi="宋体"/>
          <w:bCs/>
          <w:sz w:val="24"/>
        </w:rPr>
        <w:t xml:space="preserve">集合计划</w:t>
      </w:r>
      <w:r>
        <w:rPr>
          <w:rFonts w:ascii="宋体" w:hAnsi="宋体"/>
          <w:bCs/>
          <w:sz w:val="24"/>
        </w:rPr>
        <w:t xml:space="preserve">费用的种类</w:t>
      </w:r>
      <w:r/>
    </w:p>
    <w:p>
      <w:pPr>
        <w:pStyle w:val="369"/>
        <w:ind w:firstLine="480"/>
        <w:snapToGrid w:val="1"/>
        <w:spacing w:lineRule="auto" w:line="360"/>
        <w:rPr>
          <w:rFonts w:ascii="宋体" w:hAnsi="宋体"/>
          <w:bCs/>
          <w:sz w:val="24"/>
        </w:rPr>
      </w:pPr>
      <w:r>
        <w:rPr>
          <w:rFonts w:ascii="宋体" w:hAnsi="宋体"/>
          <w:bCs/>
          <w:sz w:val="24"/>
        </w:rPr>
        <w:t xml:space="preserve">1、管理人的管理费；</w:t>
      </w:r>
      <w:r/>
    </w:p>
    <w:p>
      <w:pPr>
        <w:pStyle w:val="369"/>
        <w:ind w:firstLine="480"/>
        <w:snapToGrid w:val="1"/>
        <w:spacing w:lineRule="auto" w:line="360"/>
        <w:rPr>
          <w:rFonts w:ascii="宋体" w:hAnsi="宋体"/>
          <w:bCs/>
          <w:sz w:val="24"/>
        </w:rPr>
      </w:pPr>
      <w:r>
        <w:rPr>
          <w:rFonts w:ascii="宋体" w:hAnsi="宋体"/>
          <w:bCs/>
          <w:sz w:val="24"/>
        </w:rPr>
        <w:t xml:space="preserve">2、托管人的托管费；</w:t>
      </w:r>
      <w:r/>
    </w:p>
    <w:p>
      <w:pPr>
        <w:pStyle w:val="369"/>
        <w:ind w:firstLine="480"/>
        <w:snapToGrid w:val="1"/>
        <w:spacing w:lineRule="auto" w:line="360"/>
        <w:rPr>
          <w:rFonts w:ascii="宋体" w:hAnsi="宋体"/>
          <w:bCs/>
          <w:sz w:val="24"/>
        </w:rPr>
      </w:pPr>
      <w:r>
        <w:rPr>
          <w:rFonts w:ascii="宋体" w:hAnsi="宋体"/>
          <w:bCs/>
          <w:sz w:val="24"/>
        </w:rPr>
        <w:t xml:space="preserve">3、《集合计划合同》生效后与</w:t>
      </w:r>
      <w:r>
        <w:rPr>
          <w:rFonts w:ascii="宋体" w:hAnsi="宋体"/>
          <w:bCs/>
          <w:sz w:val="24"/>
        </w:rPr>
        <w:t xml:space="preserve">集合计划</w:t>
      </w:r>
      <w:r>
        <w:rPr>
          <w:rFonts w:ascii="宋体" w:hAnsi="宋体"/>
          <w:bCs/>
          <w:sz w:val="24"/>
        </w:rPr>
        <w:t xml:space="preserve">相关的信息披露费用；</w:t>
      </w:r>
      <w:r/>
    </w:p>
    <w:p>
      <w:pPr>
        <w:pStyle w:val="369"/>
        <w:ind w:firstLine="480"/>
        <w:snapToGrid w:val="1"/>
        <w:spacing w:lineRule="auto" w:line="360"/>
        <w:rPr>
          <w:rFonts w:ascii="宋体" w:hAnsi="宋体"/>
          <w:bCs/>
          <w:sz w:val="24"/>
        </w:rPr>
      </w:pPr>
      <w:r>
        <w:rPr>
          <w:rFonts w:ascii="宋体" w:hAnsi="宋体"/>
          <w:bCs/>
          <w:sz w:val="24"/>
        </w:rPr>
        <w:t xml:space="preserve">4、《集合计划合同》生效后与</w:t>
      </w:r>
      <w:r>
        <w:rPr>
          <w:rFonts w:ascii="宋体" w:hAnsi="宋体"/>
          <w:bCs/>
          <w:sz w:val="24"/>
        </w:rPr>
        <w:t xml:space="preserve">集合计划</w:t>
      </w:r>
      <w:r>
        <w:rPr>
          <w:rFonts w:ascii="宋体" w:hAnsi="宋体"/>
          <w:bCs/>
          <w:sz w:val="24"/>
        </w:rPr>
        <w:t xml:space="preserve">相关的会计师费、律师费和诉讼费、</w:t>
      </w:r>
      <w:r>
        <w:rPr>
          <w:rFonts w:ascii="宋体" w:hAnsi="宋体"/>
          <w:bCs/>
          <w:sz w:val="24"/>
        </w:rPr>
        <w:t xml:space="preserve">仲裁费等</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5、集合计划份额持有人大会费用；</w:t>
      </w:r>
      <w:r/>
    </w:p>
    <w:p>
      <w:pPr>
        <w:pStyle w:val="369"/>
        <w:ind w:firstLine="480"/>
        <w:snapToGrid w:val="1"/>
        <w:spacing w:lineRule="auto" w:line="360"/>
        <w:rPr>
          <w:rFonts w:ascii="宋体" w:hAnsi="宋体"/>
          <w:bCs/>
          <w:sz w:val="24"/>
        </w:rPr>
      </w:pPr>
      <w:r>
        <w:rPr>
          <w:rFonts w:ascii="宋体" w:hAnsi="宋体"/>
          <w:bCs/>
          <w:sz w:val="24"/>
        </w:rPr>
        <w:t xml:space="preserve">6、</w:t>
      </w:r>
      <w:r>
        <w:rPr>
          <w:rFonts w:ascii="宋体" w:hAnsi="宋体"/>
          <w:bCs/>
          <w:sz w:val="24"/>
        </w:rPr>
        <w:t xml:space="preserve">集合计划</w:t>
      </w:r>
      <w:r>
        <w:rPr>
          <w:rFonts w:ascii="宋体" w:hAnsi="宋体"/>
          <w:bCs/>
          <w:sz w:val="24"/>
        </w:rPr>
        <w:t xml:space="preserve">的证券</w:t>
      </w:r>
      <w:r>
        <w:rPr>
          <w:rFonts w:ascii="宋体" w:hAnsi="宋体"/>
          <w:bCs/>
          <w:sz w:val="24"/>
        </w:rPr>
        <w:t xml:space="preserve">/期货</w:t>
      </w:r>
      <w:r>
        <w:rPr>
          <w:rFonts w:ascii="宋体" w:hAnsi="宋体"/>
          <w:bCs/>
          <w:sz w:val="24"/>
        </w:rPr>
        <w:t xml:space="preserve">交易费用；</w:t>
      </w:r>
      <w:r/>
    </w:p>
    <w:p>
      <w:pPr>
        <w:pStyle w:val="369"/>
        <w:ind w:firstLine="480"/>
        <w:snapToGrid w:val="1"/>
        <w:spacing w:lineRule="auto" w:line="360"/>
        <w:rPr>
          <w:rFonts w:ascii="宋体" w:hAnsi="宋体"/>
          <w:bCs/>
          <w:sz w:val="24"/>
        </w:rPr>
      </w:pPr>
      <w:r>
        <w:rPr>
          <w:rFonts w:ascii="宋体" w:hAnsi="宋体"/>
          <w:bCs/>
          <w:sz w:val="24"/>
        </w:rPr>
        <w:t xml:space="preserve">7、</w:t>
      </w:r>
      <w:r>
        <w:rPr>
          <w:rFonts w:ascii="宋体" w:hAnsi="宋体"/>
          <w:bCs/>
          <w:sz w:val="24"/>
        </w:rPr>
        <w:t xml:space="preserve">集合计划</w:t>
      </w:r>
      <w:r>
        <w:rPr>
          <w:rFonts w:ascii="宋体" w:hAnsi="宋体"/>
          <w:bCs/>
          <w:sz w:val="24"/>
        </w:rPr>
        <w:t xml:space="preserve">的银行汇划费用；</w:t>
      </w:r>
      <w:r/>
    </w:p>
    <w:p>
      <w:pPr>
        <w:pStyle w:val="369"/>
        <w:ind w:firstLine="480"/>
        <w:snapToGrid w:val="1"/>
        <w:spacing w:lineRule="auto" w:line="360"/>
        <w:rPr>
          <w:rFonts w:ascii="宋体" w:hAnsi="宋体"/>
          <w:bCs/>
          <w:sz w:val="24"/>
        </w:rPr>
      </w:pPr>
      <w:r>
        <w:rPr>
          <w:rFonts w:ascii="宋体" w:hAnsi="宋体"/>
          <w:bCs/>
          <w:sz w:val="24"/>
        </w:rPr>
        <w:t xml:space="preserve">8、</w:t>
      </w:r>
      <w:r>
        <w:rPr>
          <w:rFonts w:ascii="宋体" w:hAnsi="宋体"/>
          <w:bCs/>
          <w:sz w:val="24"/>
        </w:rPr>
        <w:t xml:space="preserve">集合计划的开户费用、账户维护费用；</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9、按照国家有关规定和《集合计划合同》约定</w:t>
      </w:r>
      <w:r>
        <w:rPr>
          <w:rFonts w:ascii="宋体" w:hAnsi="宋体"/>
          <w:bCs/>
          <w:sz w:val="24"/>
        </w:rPr>
        <w:t xml:space="preserve">，可以在</w:t>
      </w:r>
      <w:r>
        <w:rPr>
          <w:rFonts w:ascii="宋体" w:hAnsi="宋体"/>
          <w:bCs/>
          <w:sz w:val="24"/>
        </w:rPr>
        <w:t xml:space="preserve">集合计划</w:t>
      </w:r>
      <w:r>
        <w:rPr>
          <w:rFonts w:ascii="宋体" w:hAnsi="宋体"/>
          <w:bCs/>
          <w:sz w:val="24"/>
        </w:rPr>
        <w:t xml:space="preserve">财产中列支的其他费用。</w:t>
      </w:r>
      <w:r/>
    </w:p>
    <w:p>
      <w:pPr>
        <w:pStyle w:val="369"/>
        <w:ind w:firstLine="480"/>
        <w:snapToGrid w:val="1"/>
        <w:spacing w:lineRule="auto" w:line="360"/>
        <w:rPr>
          <w:rFonts w:ascii="宋体" w:hAnsi="宋体"/>
          <w:bCs/>
          <w:sz w:val="24"/>
        </w:rPr>
      </w:pPr>
      <w:r>
        <w:rPr>
          <w:rFonts w:ascii="宋体" w:hAnsi="宋体"/>
          <w:bCs/>
          <w:sz w:val="24"/>
        </w:rPr>
        <w:t xml:space="preserve">本集合计划终止清算时所发生费用，按实际支出额从集合计划财产中扣除</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二</w:t>
      </w:r>
      <w:r>
        <w:rPr>
          <w:rFonts w:ascii="宋体" w:hAnsi="宋体"/>
          <w:bCs/>
          <w:sz w:val="24"/>
        </w:rPr>
        <w:t xml:space="preserve">）</w:t>
      </w:r>
      <w:r>
        <w:rPr>
          <w:rFonts w:ascii="宋体" w:hAnsi="宋体"/>
          <w:bCs/>
          <w:sz w:val="24"/>
        </w:rPr>
        <w:t xml:space="preserve">集合计划</w:t>
      </w:r>
      <w:r>
        <w:rPr>
          <w:rFonts w:ascii="宋体" w:hAnsi="宋体"/>
          <w:bCs/>
          <w:sz w:val="24"/>
        </w:rPr>
        <w:t xml:space="preserve">费用计提方法、计提标准和支付方式</w:t>
      </w:r>
      <w:r/>
    </w:p>
    <w:p>
      <w:pPr>
        <w:pStyle w:val="369"/>
        <w:ind w:firstLine="480"/>
        <w:snapToGrid w:val="1"/>
        <w:spacing w:lineRule="auto" w:line="360"/>
        <w:rPr>
          <w:rFonts w:ascii="宋体" w:hAnsi="宋体"/>
          <w:bCs/>
          <w:sz w:val="24"/>
        </w:rPr>
      </w:pPr>
      <w:r>
        <w:rPr>
          <w:rFonts w:ascii="宋体" w:hAnsi="宋体"/>
          <w:bCs/>
          <w:sz w:val="24"/>
        </w:rPr>
        <w:t xml:space="preserve">1、管理人的管理费</w:t>
      </w:r>
      <w:r/>
    </w:p>
    <w:p>
      <w:pPr>
        <w:pStyle w:val="369"/>
        <w:ind w:firstLine="480"/>
        <w:snapToGrid w:val="1"/>
        <w:spacing w:lineRule="auto" w:line="360"/>
        <w:rPr>
          <w:rFonts w:ascii="宋体" w:hAnsi="宋体"/>
          <w:bCs/>
          <w:sz w:val="24"/>
        </w:rPr>
      </w:pPr>
      <w:r>
        <w:rPr>
          <w:rFonts w:ascii="宋体" w:hAnsi="宋体"/>
          <w:bCs/>
          <w:sz w:val="24"/>
        </w:rPr>
        <w:t xml:space="preserve">本集合计划的管理费按前一日集合计划资产净值的</w:t>
      </w:r>
      <w:r>
        <w:rPr>
          <w:rFonts w:ascii="宋体" w:hAnsi="宋体"/>
          <w:bCs/>
          <w:sz w:val="24"/>
        </w:rPr>
        <w:t xml:space="preserve">0.</w:t>
      </w:r>
      <w:r>
        <w:rPr>
          <w:rFonts w:ascii="宋体" w:hAnsi="宋体"/>
          <w:bCs/>
          <w:sz w:val="24"/>
        </w:rPr>
        <w:t xml:space="preserve">8%年费率计提。管理费的计算方法如下：</w:t>
      </w:r>
      <w:r/>
    </w:p>
    <w:p>
      <w:pPr>
        <w:pStyle w:val="369"/>
        <w:ind w:firstLine="480"/>
        <w:snapToGrid w:val="1"/>
        <w:spacing w:lineRule="auto" w:line="360"/>
        <w:rPr>
          <w:rFonts w:ascii="宋体" w:hAnsi="宋体"/>
          <w:bCs/>
          <w:sz w:val="24"/>
        </w:rPr>
      </w:pPr>
      <w:r>
        <w:rPr>
          <w:rFonts w:ascii="宋体" w:hAnsi="宋体"/>
          <w:bCs/>
          <w:sz w:val="24"/>
        </w:rPr>
        <w:t xml:space="preserve">H＝E×</w:t>
      </w:r>
      <w:r>
        <w:rPr>
          <w:rFonts w:ascii="宋体" w:hAnsi="宋体"/>
          <w:bCs/>
          <w:sz w:val="24"/>
        </w:rPr>
        <w:t xml:space="preserve">0.</w:t>
      </w:r>
      <w:r>
        <w:rPr>
          <w:rFonts w:ascii="宋体" w:hAnsi="宋体"/>
          <w:bCs/>
          <w:sz w:val="24"/>
        </w:rPr>
        <w:t xml:space="preserve">8%÷当年天数</w:t>
      </w:r>
      <w:r/>
    </w:p>
    <w:p>
      <w:pPr>
        <w:pStyle w:val="369"/>
        <w:ind w:firstLine="480"/>
        <w:snapToGrid w:val="1"/>
        <w:spacing w:lineRule="auto" w:line="360"/>
        <w:rPr>
          <w:rFonts w:ascii="宋体" w:hAnsi="宋体"/>
          <w:bCs/>
          <w:sz w:val="24"/>
        </w:rPr>
      </w:pPr>
      <w:r>
        <w:rPr>
          <w:rFonts w:ascii="宋体" w:hAnsi="宋体"/>
          <w:bCs/>
          <w:sz w:val="24"/>
        </w:rPr>
        <w:t xml:space="preserve">H为每日应计提的</w:t>
      </w:r>
      <w:r>
        <w:rPr>
          <w:rFonts w:ascii="宋体" w:hAnsi="宋体"/>
          <w:bCs/>
          <w:sz w:val="24"/>
        </w:rPr>
        <w:t xml:space="preserve">集合计划</w:t>
      </w:r>
      <w:r>
        <w:rPr>
          <w:rFonts w:ascii="宋体" w:hAnsi="宋体"/>
          <w:bCs/>
          <w:sz w:val="24"/>
        </w:rPr>
        <w:t xml:space="preserve">管理费</w:t>
      </w:r>
      <w:r/>
    </w:p>
    <w:p>
      <w:pPr>
        <w:pStyle w:val="369"/>
        <w:ind w:firstLine="480"/>
        <w:snapToGrid w:val="1"/>
        <w:spacing w:lineRule="auto" w:line="360"/>
        <w:rPr>
          <w:rFonts w:ascii="宋体" w:hAnsi="宋体"/>
          <w:bCs/>
          <w:sz w:val="24"/>
        </w:rPr>
      </w:pPr>
      <w:r>
        <w:rPr>
          <w:rFonts w:ascii="宋体" w:hAnsi="宋体"/>
          <w:bCs/>
          <w:sz w:val="24"/>
        </w:rPr>
        <w:t xml:space="preserve">E为前一日的集合计划资产净值</w:t>
      </w:r>
      <w:r/>
    </w:p>
    <w:p>
      <w:pPr>
        <w:pStyle w:val="369"/>
        <w:ind w:firstLine="480"/>
        <w:snapToGrid w:val="1"/>
        <w:spacing w:lineRule="auto" w:line="360"/>
        <w:rPr>
          <w:rFonts w:ascii="宋体" w:hAnsi="宋体"/>
          <w:bCs/>
          <w:sz w:val="24"/>
        </w:rPr>
      </w:pPr>
      <w:r>
        <w:rPr>
          <w:rFonts w:ascii="宋体" w:hAnsi="宋体"/>
          <w:bCs/>
          <w:sz w:val="24"/>
        </w:rPr>
        <w:t xml:space="preserve">集合计划管理费每日计提，逐日累计至每月月末，按月支付。由托管人于次月前5个工作日内依管理人指令从集合计划财产中一次性支付给管理人。若遇法定节假日、休息日等，支</w:t>
      </w:r>
      <w:r>
        <w:rPr>
          <w:rFonts w:ascii="宋体" w:hAnsi="宋体"/>
          <w:bCs/>
          <w:sz w:val="24"/>
        </w:rPr>
        <w:t xml:space="preserve">付日期顺延。</w:t>
      </w:r>
      <w:r/>
    </w:p>
    <w:p>
      <w:pPr>
        <w:pStyle w:val="369"/>
        <w:ind w:firstLine="480"/>
        <w:snapToGrid w:val="1"/>
        <w:spacing w:lineRule="auto" w:line="360"/>
        <w:rPr>
          <w:rFonts w:ascii="宋体" w:hAnsi="宋体"/>
          <w:bCs/>
          <w:sz w:val="24"/>
        </w:rPr>
      </w:pPr>
      <w:r>
        <w:rPr>
          <w:rFonts w:ascii="宋体" w:hAnsi="宋体"/>
          <w:bCs/>
          <w:sz w:val="24"/>
        </w:rPr>
        <w:t xml:space="preserve">2、托管人的托管费</w:t>
      </w:r>
      <w:r/>
    </w:p>
    <w:p>
      <w:pPr>
        <w:pStyle w:val="369"/>
        <w:ind w:firstLine="480"/>
        <w:snapToGrid w:val="1"/>
        <w:spacing w:lineRule="auto" w:line="360"/>
        <w:rPr>
          <w:rFonts w:ascii="宋体" w:hAnsi="宋体"/>
          <w:bCs/>
          <w:sz w:val="24"/>
        </w:rPr>
      </w:pPr>
      <w:r>
        <w:rPr>
          <w:rFonts w:ascii="宋体" w:hAnsi="宋体"/>
          <w:bCs/>
          <w:sz w:val="24"/>
        </w:rPr>
        <w:t xml:space="preserve">本集合计划的托管费按前一日集合计划资产净值的0.</w:t>
      </w:r>
      <w:r>
        <w:rPr>
          <w:rFonts w:ascii="宋体" w:hAnsi="宋体"/>
          <w:bCs/>
          <w:sz w:val="24"/>
        </w:rPr>
        <w:t xml:space="preserve">15</w:t>
      </w:r>
      <w:r>
        <w:rPr>
          <w:rFonts w:ascii="宋体" w:hAnsi="宋体"/>
          <w:bCs/>
          <w:sz w:val="24"/>
        </w:rPr>
        <w:t xml:space="preserve">%的年费率计提。托管费的计算方法如下：</w:t>
      </w:r>
      <w:r/>
    </w:p>
    <w:p>
      <w:pPr>
        <w:pStyle w:val="369"/>
        <w:ind w:firstLine="480"/>
        <w:snapToGrid w:val="1"/>
        <w:spacing w:lineRule="auto" w:line="360"/>
        <w:rPr>
          <w:rFonts w:ascii="宋体" w:hAnsi="宋体"/>
          <w:bCs/>
          <w:sz w:val="24"/>
        </w:rPr>
      </w:pPr>
      <w:r>
        <w:rPr>
          <w:rFonts w:ascii="宋体" w:hAnsi="宋体"/>
          <w:bCs/>
          <w:sz w:val="24"/>
        </w:rPr>
        <w:t xml:space="preserve">H＝E×0</w:t>
      </w:r>
      <w:r>
        <w:rPr>
          <w:rFonts w:ascii="宋体" w:hAnsi="宋体"/>
          <w:bCs/>
          <w:sz w:val="24"/>
        </w:rPr>
        <w:t xml:space="preserve">.15</w:t>
      </w:r>
      <w:r>
        <w:rPr>
          <w:rFonts w:ascii="宋体" w:hAnsi="宋体"/>
          <w:bCs/>
          <w:sz w:val="24"/>
        </w:rPr>
        <w:t xml:space="preserve">%÷当年天数</w:t>
      </w:r>
      <w:r/>
    </w:p>
    <w:p>
      <w:pPr>
        <w:pStyle w:val="369"/>
        <w:ind w:firstLine="480"/>
        <w:snapToGrid w:val="1"/>
        <w:spacing w:lineRule="auto" w:line="360"/>
        <w:rPr>
          <w:rFonts w:ascii="宋体" w:hAnsi="宋体"/>
          <w:bCs/>
          <w:sz w:val="24"/>
        </w:rPr>
      </w:pPr>
      <w:r>
        <w:rPr>
          <w:rFonts w:ascii="宋体" w:hAnsi="宋体"/>
          <w:bCs/>
          <w:sz w:val="24"/>
        </w:rPr>
        <w:t xml:space="preserve">H为每日应计提的</w:t>
      </w:r>
      <w:r>
        <w:rPr>
          <w:rFonts w:ascii="宋体" w:hAnsi="宋体"/>
          <w:bCs/>
          <w:sz w:val="24"/>
        </w:rPr>
        <w:t xml:space="preserve">集合计划</w:t>
      </w:r>
      <w:r>
        <w:rPr>
          <w:rFonts w:ascii="宋体" w:hAnsi="宋体"/>
          <w:bCs/>
          <w:sz w:val="24"/>
        </w:rPr>
        <w:t xml:space="preserve">托管费</w:t>
      </w:r>
      <w:r/>
    </w:p>
    <w:p>
      <w:pPr>
        <w:pStyle w:val="369"/>
        <w:ind w:firstLine="480"/>
        <w:snapToGrid w:val="1"/>
        <w:spacing w:lineRule="auto" w:line="360"/>
        <w:rPr>
          <w:rFonts w:ascii="宋体" w:hAnsi="宋体"/>
          <w:bCs/>
          <w:sz w:val="24"/>
        </w:rPr>
      </w:pPr>
      <w:r>
        <w:rPr>
          <w:rFonts w:ascii="宋体" w:hAnsi="宋体"/>
          <w:bCs/>
          <w:sz w:val="24"/>
        </w:rPr>
        <w:t xml:space="preserve">E为前一日的集合计划资产净值</w:t>
      </w:r>
      <w:r/>
    </w:p>
    <w:p>
      <w:pPr>
        <w:pStyle w:val="369"/>
        <w:ind w:firstLine="480"/>
        <w:snapToGrid w:val="1"/>
        <w:spacing w:lineRule="auto" w:line="360"/>
        <w:rPr>
          <w:rFonts w:ascii="宋体" w:hAnsi="宋体"/>
          <w:bCs/>
          <w:sz w:val="24"/>
        </w:rPr>
      </w:pPr>
      <w:r>
        <w:rPr>
          <w:rFonts w:ascii="宋体" w:hAnsi="宋体"/>
          <w:bCs/>
          <w:sz w:val="24"/>
        </w:rPr>
        <w:t xml:space="preserve">集合计划托管费每日计提，逐日累计至每月月末，按月支付，由托管人于次月前5个工作日内以管理人指令从集合计划财产中一次性支取。若遇法定节假日、休息日等，支付日期顺延。</w:t>
      </w:r>
      <w:r/>
    </w:p>
    <w:p>
      <w:pPr>
        <w:pStyle w:val="369"/>
        <w:ind w:firstLine="480"/>
        <w:snapToGrid w:val="1"/>
        <w:spacing w:lineRule="auto" w:line="360"/>
        <w:rPr>
          <w:rFonts w:ascii="宋体" w:hAnsi="宋体"/>
          <w:bCs/>
          <w:sz w:val="24"/>
        </w:rPr>
      </w:pPr>
      <w:r>
        <w:rPr>
          <w:rFonts w:ascii="宋体" w:hAnsi="宋体"/>
          <w:bCs/>
          <w:sz w:val="24"/>
        </w:rPr>
        <w:t xml:space="preserve">上述</w:t>
      </w:r>
      <w:r>
        <w:rPr>
          <w:rFonts w:ascii="宋体" w:hAnsi="宋体"/>
          <w:bCs/>
          <w:sz w:val="24"/>
        </w:rPr>
        <w:t xml:space="preserve">“（</w:t>
      </w:r>
      <w:r>
        <w:rPr>
          <w:rFonts w:ascii="宋体" w:hAnsi="宋体"/>
          <w:bCs/>
          <w:sz w:val="24"/>
        </w:rPr>
        <w:t xml:space="preserve">一</w:t>
      </w:r>
      <w:r>
        <w:rPr>
          <w:rFonts w:ascii="宋体" w:hAnsi="宋体"/>
          <w:bCs/>
          <w:sz w:val="24"/>
        </w:rPr>
        <w:t xml:space="preserve">）</w:t>
      </w:r>
      <w:r>
        <w:rPr>
          <w:rFonts w:ascii="宋体" w:hAnsi="宋体"/>
          <w:bCs/>
          <w:sz w:val="24"/>
        </w:rPr>
        <w:t xml:space="preserve">、</w:t>
      </w:r>
      <w:r>
        <w:rPr>
          <w:rFonts w:ascii="宋体" w:hAnsi="宋体"/>
          <w:bCs/>
          <w:sz w:val="24"/>
        </w:rPr>
        <w:t xml:space="preserve">集合计划</w:t>
      </w:r>
      <w:r>
        <w:rPr>
          <w:rFonts w:ascii="宋体" w:hAnsi="宋体"/>
          <w:bCs/>
          <w:sz w:val="24"/>
        </w:rPr>
        <w:t xml:space="preserve">费用的种类</w:t>
      </w:r>
      <w:r>
        <w:rPr>
          <w:rFonts w:ascii="宋体" w:hAnsi="宋体"/>
          <w:bCs/>
          <w:sz w:val="24"/>
        </w:rPr>
        <w:t xml:space="preserve">”</w:t>
      </w:r>
      <w:r>
        <w:rPr>
          <w:rFonts w:ascii="宋体" w:hAnsi="宋体"/>
          <w:bCs/>
          <w:sz w:val="24"/>
        </w:rPr>
        <w:t xml:space="preserve">中第3－</w:t>
      </w:r>
      <w:r>
        <w:rPr>
          <w:rFonts w:ascii="宋体" w:hAnsi="宋体"/>
          <w:bCs/>
          <w:sz w:val="24"/>
        </w:rPr>
        <w:t xml:space="preserve">9</w:t>
      </w:r>
      <w:r>
        <w:rPr>
          <w:rFonts w:ascii="宋体" w:hAnsi="宋体"/>
          <w:bCs/>
          <w:sz w:val="24"/>
        </w:rPr>
        <w:t xml:space="preserve">项费用，根据有关法规及相应协议规定，按费用实际支出金额列入当期费用，由托管人从</w:t>
      </w:r>
      <w:r>
        <w:rPr>
          <w:rFonts w:ascii="宋体" w:hAnsi="宋体"/>
          <w:bCs/>
          <w:sz w:val="24"/>
        </w:rPr>
        <w:t xml:space="preserve">集合计划</w:t>
      </w:r>
      <w:r>
        <w:rPr>
          <w:rFonts w:ascii="宋体" w:hAnsi="宋体"/>
          <w:bCs/>
          <w:sz w:val="24"/>
        </w:rPr>
        <w:t xml:space="preserve">财产中支付。</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三</w:t>
      </w:r>
      <w:r>
        <w:rPr>
          <w:rFonts w:ascii="宋体" w:hAnsi="宋体"/>
          <w:bCs/>
          <w:sz w:val="24"/>
        </w:rPr>
        <w:t xml:space="preserve">）不列入</w:t>
      </w:r>
      <w:r>
        <w:rPr>
          <w:rFonts w:ascii="宋体" w:hAnsi="宋体"/>
          <w:bCs/>
          <w:sz w:val="24"/>
        </w:rPr>
        <w:t xml:space="preserve">集合计划</w:t>
      </w:r>
      <w:r>
        <w:rPr>
          <w:rFonts w:ascii="宋体" w:hAnsi="宋体"/>
          <w:bCs/>
          <w:sz w:val="24"/>
        </w:rPr>
        <w:t xml:space="preserve">费用的项目</w:t>
      </w:r>
      <w:r/>
    </w:p>
    <w:p>
      <w:pPr>
        <w:pStyle w:val="369"/>
        <w:ind w:firstLine="480"/>
        <w:snapToGrid w:val="1"/>
        <w:spacing w:lineRule="auto" w:line="360"/>
        <w:rPr>
          <w:rFonts w:ascii="宋体" w:hAnsi="宋体"/>
          <w:bCs/>
          <w:sz w:val="24"/>
        </w:rPr>
      </w:pPr>
      <w:r>
        <w:rPr>
          <w:rFonts w:ascii="宋体" w:hAnsi="宋体"/>
          <w:bCs/>
          <w:sz w:val="24"/>
        </w:rPr>
        <w:t xml:space="preserve">下列费用不列入</w:t>
      </w:r>
      <w:r>
        <w:rPr>
          <w:rFonts w:ascii="宋体" w:hAnsi="宋体"/>
          <w:bCs/>
          <w:sz w:val="24"/>
        </w:rPr>
        <w:t xml:space="preserve">集合计划</w:t>
      </w:r>
      <w:r>
        <w:rPr>
          <w:rFonts w:ascii="宋体" w:hAnsi="宋体"/>
          <w:bCs/>
          <w:sz w:val="24"/>
        </w:rPr>
        <w:t xml:space="preserve">费用：</w:t>
      </w:r>
      <w:r/>
    </w:p>
    <w:p>
      <w:pPr>
        <w:pStyle w:val="369"/>
        <w:ind w:firstLine="480"/>
        <w:snapToGrid w:val="1"/>
        <w:spacing w:lineRule="auto" w:line="360"/>
        <w:rPr>
          <w:rFonts w:ascii="宋体" w:hAnsi="宋体"/>
          <w:bCs/>
          <w:sz w:val="24"/>
        </w:rPr>
      </w:pPr>
      <w:r>
        <w:rPr>
          <w:rFonts w:ascii="宋体" w:hAnsi="宋体"/>
          <w:bCs/>
          <w:sz w:val="24"/>
        </w:rPr>
        <w:t xml:space="preserve">1、管理人和托管人因未履行或未完全履行义务导致的费用支出或</w:t>
      </w:r>
      <w:r>
        <w:rPr>
          <w:rFonts w:ascii="宋体" w:hAnsi="宋体"/>
          <w:bCs/>
          <w:sz w:val="24"/>
        </w:rPr>
        <w:t xml:space="preserve">集合计划</w:t>
      </w:r>
      <w:r>
        <w:rPr>
          <w:rFonts w:ascii="宋体" w:hAnsi="宋体"/>
          <w:bCs/>
          <w:sz w:val="24"/>
        </w:rPr>
        <w:t xml:space="preserve">财产的损失；</w:t>
      </w:r>
      <w:r/>
    </w:p>
    <w:p>
      <w:pPr>
        <w:pStyle w:val="369"/>
        <w:ind w:firstLine="480"/>
        <w:snapToGrid w:val="1"/>
        <w:spacing w:lineRule="auto" w:line="360"/>
        <w:rPr>
          <w:rFonts w:ascii="宋体" w:hAnsi="宋体"/>
          <w:bCs/>
          <w:sz w:val="24"/>
        </w:rPr>
      </w:pPr>
      <w:r>
        <w:rPr>
          <w:rFonts w:ascii="宋体" w:hAnsi="宋体"/>
          <w:bCs/>
          <w:sz w:val="24"/>
        </w:rPr>
        <w:t xml:space="preserve">2、管理人和托管人处理与</w:t>
      </w:r>
      <w:r>
        <w:rPr>
          <w:rFonts w:ascii="宋体" w:hAnsi="宋体"/>
          <w:bCs/>
          <w:sz w:val="24"/>
        </w:rPr>
        <w:t xml:space="preserve">集合计划</w:t>
      </w:r>
      <w:r>
        <w:rPr>
          <w:rFonts w:ascii="宋体" w:hAnsi="宋体"/>
          <w:bCs/>
          <w:sz w:val="24"/>
        </w:rPr>
        <w:t xml:space="preserve">运作无关的事项发生的费用；</w:t>
      </w:r>
      <w:r/>
    </w:p>
    <w:p>
      <w:pPr>
        <w:pStyle w:val="369"/>
        <w:ind w:firstLine="480"/>
        <w:snapToGrid w:val="1"/>
        <w:spacing w:lineRule="auto" w:line="360"/>
        <w:rPr>
          <w:rFonts w:ascii="宋体" w:hAnsi="宋体"/>
          <w:bCs/>
          <w:sz w:val="24"/>
        </w:rPr>
      </w:pPr>
      <w:r>
        <w:rPr>
          <w:rFonts w:ascii="宋体" w:hAnsi="宋体"/>
          <w:bCs/>
          <w:sz w:val="24"/>
        </w:rPr>
        <w:t xml:space="preserve">3、《集合计划合同》生效前的相关费用，根据《</w:t>
      </w:r>
      <w:r>
        <w:rPr>
          <w:rFonts w:ascii="宋体" w:hAnsi="宋体"/>
          <w:bCs/>
          <w:sz w:val="24"/>
        </w:rPr>
        <w:t xml:space="preserve">东海证券</w:t>
      </w:r>
      <w:r>
        <w:rPr>
          <w:rFonts w:ascii="宋体" w:hAnsi="宋体"/>
          <w:bCs/>
          <w:sz w:val="24"/>
        </w:rPr>
        <w:t xml:space="preserve">东风9号集合资产管理计划合同》约定执行；</w:t>
      </w:r>
      <w:r/>
    </w:p>
    <w:p>
      <w:pPr>
        <w:pStyle w:val="369"/>
        <w:ind w:firstLine="480"/>
        <w:snapToGrid w:val="1"/>
        <w:spacing w:lineRule="auto" w:line="360"/>
        <w:rPr>
          <w:rFonts w:ascii="宋体" w:hAnsi="宋体"/>
          <w:bCs/>
          <w:sz w:val="24"/>
        </w:rPr>
      </w:pPr>
      <w:r>
        <w:rPr>
          <w:rFonts w:ascii="宋体" w:hAnsi="宋体"/>
          <w:bCs/>
          <w:sz w:val="24"/>
        </w:rPr>
        <w:t xml:space="preserve">4、其他根据相关法律法规及中国证监会的有关规定不得列入</w:t>
      </w:r>
      <w:r>
        <w:rPr>
          <w:rFonts w:ascii="宋体" w:hAnsi="宋体"/>
          <w:bCs/>
          <w:sz w:val="24"/>
        </w:rPr>
        <w:t xml:space="preserve">集合计划</w:t>
      </w:r>
      <w:r>
        <w:rPr>
          <w:rFonts w:ascii="宋体" w:hAnsi="宋体"/>
          <w:bCs/>
          <w:sz w:val="24"/>
        </w:rPr>
        <w:t xml:space="preserve">费用的项目。</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四</w:t>
      </w:r>
      <w:r>
        <w:rPr>
          <w:rFonts w:ascii="宋体" w:hAnsi="宋体"/>
          <w:bCs/>
          <w:sz w:val="24"/>
        </w:rPr>
        <w:t xml:space="preserve">）</w:t>
      </w:r>
      <w:r>
        <w:rPr>
          <w:rFonts w:ascii="宋体" w:hAnsi="宋体"/>
          <w:bCs/>
          <w:sz w:val="24"/>
        </w:rPr>
        <w:t xml:space="preserve">实施侧袋机制期间的集合计划费用</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本集合计划实施侧袋机制的，与侧袋账户有关的费用可以从侧袋账户中列支，但应待侧袋账户资产变</w:t>
      </w:r>
      <w:r>
        <w:rPr>
          <w:rFonts w:ascii="宋体" w:hAnsi="宋体"/>
          <w:bCs/>
          <w:sz w:val="24"/>
        </w:rPr>
        <w:t xml:space="preserve">现后方可列支，有关费用可酌情收取或减免，但不得收取管理费，详见招募说明书的规定。</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五</w:t>
      </w:r>
      <w:r>
        <w:rPr>
          <w:rFonts w:ascii="宋体" w:hAnsi="宋体"/>
          <w:bCs/>
          <w:sz w:val="24"/>
        </w:rPr>
        <w:t xml:space="preserve">）</w:t>
      </w:r>
      <w:r>
        <w:rPr>
          <w:rFonts w:ascii="宋体" w:hAnsi="宋体"/>
          <w:bCs/>
          <w:sz w:val="24"/>
        </w:rPr>
        <w:t xml:space="preserve">集合计划</w:t>
      </w:r>
      <w:r>
        <w:rPr>
          <w:rFonts w:ascii="宋体" w:hAnsi="宋体"/>
          <w:bCs/>
          <w:sz w:val="24"/>
        </w:rPr>
        <w:t xml:space="preserve">税收</w:t>
      </w:r>
      <w:r/>
    </w:p>
    <w:p>
      <w:pPr>
        <w:pStyle w:val="369"/>
        <w:ind w:firstLine="480"/>
        <w:snapToGrid w:val="1"/>
        <w:spacing w:lineRule="auto" w:line="360"/>
        <w:rPr>
          <w:rFonts w:ascii="宋体" w:hAnsi="宋体"/>
          <w:bCs/>
          <w:sz w:val="24"/>
        </w:rPr>
      </w:pPr>
      <w:r>
        <w:rPr>
          <w:rFonts w:ascii="宋体" w:hAnsi="宋体"/>
          <w:bCs/>
          <w:sz w:val="24"/>
        </w:rPr>
        <w:t xml:space="preserve">本集合计划运作过程中涉及的各纳税主体，其纳税义务按国家税收法律、法规执行。</w:t>
      </w:r>
      <w:r>
        <w:rPr>
          <w:rFonts w:ascii="宋体" w:hAnsi="宋体"/>
          <w:bCs/>
          <w:sz w:val="24"/>
        </w:rPr>
        <w:t xml:space="preserve">集合计划</w:t>
      </w:r>
      <w:r>
        <w:rPr>
          <w:rFonts w:ascii="宋体" w:hAnsi="宋体"/>
          <w:bCs/>
          <w:sz w:val="24"/>
        </w:rPr>
        <w:t xml:space="preserve">财产投资的相关税收，由集合计划份额持有人承担，管理人或者其他扣缴义务人按照国家有关税收征收的规定代扣代缴。</w:t>
      </w:r>
      <w:r/>
    </w:p>
    <w:p>
      <w:pPr>
        <w:pStyle w:val="369"/>
        <w:ind w:firstLine="480"/>
        <w:snapToGrid w:val="1"/>
        <w:spacing w:lineRule="auto" w:line="360"/>
        <w:tabs>
          <w:tab w:val="left" w:pos="6804" w:leader="none"/>
        </w:tabs>
        <w:rPr>
          <w:rFonts w:ascii="宋体" w:hAnsi="宋体"/>
          <w:bCs/>
          <w:sz w:val="24"/>
        </w:rPr>
      </w:pPr>
      <w:r>
        <w:rPr>
          <w:rFonts w:ascii="宋体" w:hAnsi="宋体"/>
          <w:bCs/>
          <w:sz w:val="24"/>
        </w:rPr>
        <w:t xml:space="preserve">五、集合计划的投资范围和投资限制</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一</w:t>
      </w:r>
      <w:r>
        <w:rPr>
          <w:rFonts w:ascii="宋体" w:hAnsi="宋体"/>
          <w:bCs/>
          <w:sz w:val="24"/>
        </w:rPr>
        <w:t xml:space="preserve">）投资范围</w:t>
      </w:r>
      <w:r/>
    </w:p>
    <w:p>
      <w:pPr>
        <w:pStyle w:val="369"/>
        <w:ind w:firstLine="480"/>
        <w:jc w:val="left"/>
        <w:snapToGrid w:val="1"/>
        <w:spacing w:lineRule="auto" w:line="360"/>
        <w:rPr>
          <w:rFonts w:ascii="宋体" w:hAnsi="宋体"/>
          <w:bCs/>
          <w:sz w:val="24"/>
        </w:rPr>
      </w:pPr>
      <w:r>
        <w:rPr>
          <w:rFonts w:ascii="宋体" w:hAnsi="宋体"/>
          <w:bCs/>
          <w:sz w:val="24"/>
        </w:rPr>
        <w:t xml:space="preserve">本集合计划投资于具有良好流动性的金融工具，包括</w:t>
      </w:r>
      <w:r>
        <w:rPr>
          <w:rFonts w:ascii="宋体" w:hAnsi="宋体"/>
          <w:bCs/>
          <w:sz w:val="24"/>
        </w:rPr>
        <w:t xml:space="preserve">国内依法发行上市的股票</w:t>
      </w:r>
      <w:r>
        <w:rPr>
          <w:rFonts w:ascii="宋体" w:hAnsi="宋体"/>
          <w:bCs/>
          <w:sz w:val="24"/>
        </w:rPr>
        <w:t xml:space="preserve">（包括主板、创业板及其他经中国证监会核准或注册上市的股票）</w:t>
      </w:r>
      <w:r>
        <w:rPr>
          <w:rFonts w:ascii="宋体" w:hAnsi="宋体"/>
          <w:bCs/>
          <w:sz w:val="24"/>
        </w:rPr>
        <w:t xml:space="preserve">、债券</w:t>
      </w:r>
      <w:r>
        <w:rPr>
          <w:rFonts w:ascii="宋体" w:hAnsi="宋体"/>
          <w:bCs/>
          <w:sz w:val="24"/>
        </w:rPr>
        <w:t xml:space="preserve">（包括国债、央行票据、金融债券、企业债</w:t>
      </w:r>
      <w:r>
        <w:rPr>
          <w:rFonts w:ascii="宋体" w:hAnsi="宋体"/>
          <w:bCs/>
          <w:sz w:val="24"/>
        </w:rPr>
        <w:t xml:space="preserve">券、公司债券、中期票据、短期融资券、超短期融资券、公开发行的次级债券、政府支持机构债券、政府支持债券、地方政府债券、可转换债券、可交换债券等）、资产支持证券、债券回购、银行存款（包括协议存款、定期存款及其他银行存款）、同业存单、衍生品（包括股指期货、国债期货等）、货币市场工具</w:t>
      </w:r>
      <w:r>
        <w:rPr>
          <w:rFonts w:ascii="宋体" w:hAnsi="宋体"/>
          <w:bCs/>
          <w:sz w:val="24"/>
        </w:rPr>
        <w:t xml:space="preserve">以及法律法规或中国证监会允许</w:t>
      </w:r>
      <w:r>
        <w:rPr>
          <w:rFonts w:ascii="宋体" w:hAnsi="宋体"/>
          <w:bCs/>
          <w:sz w:val="24"/>
        </w:rPr>
        <w:t xml:space="preserve">集合计划</w:t>
      </w:r>
      <w:r>
        <w:rPr>
          <w:rFonts w:ascii="宋体" w:hAnsi="宋体"/>
          <w:bCs/>
          <w:sz w:val="24"/>
        </w:rPr>
        <w:t xml:space="preserve">投资的其他金融工具</w:t>
      </w:r>
      <w:r>
        <w:rPr>
          <w:rFonts w:ascii="宋体" w:hAnsi="宋体"/>
          <w:bCs/>
          <w:sz w:val="24"/>
        </w:rPr>
        <w:t xml:space="preserve">（但须符合中国证监会相关规定）。</w:t>
      </w:r>
      <w:r/>
    </w:p>
    <w:p>
      <w:pPr>
        <w:pStyle w:val="369"/>
        <w:ind w:firstLine="480"/>
        <w:snapToGrid w:val="1"/>
        <w:spacing w:lineRule="auto" w:line="360"/>
        <w:rPr>
          <w:rFonts w:ascii="宋体" w:hAnsi="宋体"/>
          <w:bCs/>
          <w:sz w:val="24"/>
        </w:rPr>
      </w:pPr>
      <w:r>
        <w:rPr>
          <w:rFonts w:ascii="宋体" w:hAnsi="宋体"/>
          <w:bCs/>
          <w:sz w:val="24"/>
        </w:rPr>
        <w:t xml:space="preserve">如法律法规或监管机构以后允许集合计划投资其他品种，管理人在履行适当程序后，可以将其纳入投资范围。</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本集合计划</w:t>
      </w:r>
      <w:r>
        <w:rPr>
          <w:rFonts w:ascii="宋体" w:hAnsi="宋体"/>
          <w:bCs/>
          <w:sz w:val="24"/>
        </w:rPr>
        <w:t xml:space="preserve">的投资组合比例为：</w:t>
      </w:r>
      <w:r/>
    </w:p>
    <w:p>
      <w:pPr>
        <w:pStyle w:val="369"/>
        <w:ind w:firstLine="480"/>
        <w:snapToGrid w:val="1"/>
        <w:spacing w:lineRule="auto" w:line="360"/>
        <w:rPr>
          <w:rFonts w:ascii="宋体" w:hAnsi="宋体"/>
          <w:bCs/>
          <w:sz w:val="24"/>
        </w:rPr>
      </w:pPr>
      <w:r>
        <w:rPr>
          <w:rFonts w:ascii="宋体" w:hAnsi="宋体"/>
          <w:bCs/>
          <w:sz w:val="24"/>
        </w:rPr>
        <w:t xml:space="preserve">股票投资占集合计划资</w:t>
      </w:r>
      <w:r>
        <w:rPr>
          <w:rFonts w:ascii="宋体" w:hAnsi="宋体"/>
          <w:bCs/>
          <w:sz w:val="24"/>
        </w:rPr>
        <w:t xml:space="preserve">产的比例范围为</w:t>
      </w:r>
      <w:r>
        <w:rPr>
          <w:rFonts w:ascii="宋体" w:hAnsi="宋体"/>
          <w:bCs/>
          <w:sz w:val="24"/>
        </w:rPr>
        <w:t xml:space="preserve">0%-30%</w:t>
      </w:r>
      <w:r>
        <w:rPr>
          <w:rFonts w:ascii="宋体" w:hAnsi="宋体"/>
          <w:bCs/>
          <w:sz w:val="24"/>
        </w:rPr>
        <w:t xml:space="preserve">；每个交易日日终在扣除股指期货、国债期货合约需缴纳的交易保证金后，本集合计划持有的现金或者到期日在一年以内的政府债券不低于集合计划资产净值的</w:t>
      </w:r>
      <w:r>
        <w:rPr>
          <w:rFonts w:ascii="宋体" w:hAnsi="宋体"/>
          <w:bCs/>
          <w:sz w:val="24"/>
        </w:rPr>
        <w:t xml:space="preserve">5%</w:t>
      </w:r>
      <w:r>
        <w:rPr>
          <w:rFonts w:ascii="宋体" w:hAnsi="宋体"/>
          <w:bCs/>
          <w:sz w:val="24"/>
        </w:rPr>
        <w:t xml:space="preserve">，其中现金不包括结算备付金、存出保证金和应收申购款等。</w:t>
      </w:r>
      <w:r>
        <w:rPr>
          <w:rFonts w:ascii="宋体" w:hAnsi="宋体"/>
          <w:bCs/>
          <w:sz w:val="24"/>
        </w:rPr>
        <w:t xml:space="preserve">证券衍生品及其他金融工具的投资比例依照法律法规或监管机构的规定执行。</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二</w:t>
      </w:r>
      <w:r>
        <w:rPr>
          <w:rFonts w:ascii="宋体" w:hAnsi="宋体"/>
          <w:bCs/>
          <w:sz w:val="24"/>
        </w:rPr>
        <w:t xml:space="preserve">）投资限制</w:t>
      </w:r>
      <w:r/>
    </w:p>
    <w:p>
      <w:pPr>
        <w:pStyle w:val="369"/>
        <w:ind w:firstLine="480"/>
        <w:snapToGrid w:val="1"/>
        <w:spacing w:lineRule="auto" w:line="360"/>
        <w:rPr>
          <w:rFonts w:ascii="宋体" w:hAnsi="宋体"/>
          <w:bCs/>
          <w:sz w:val="24"/>
        </w:rPr>
      </w:pPr>
      <w:r>
        <w:rPr>
          <w:rFonts w:ascii="宋体" w:hAnsi="宋体"/>
          <w:bCs/>
          <w:sz w:val="24"/>
        </w:rPr>
        <w:t xml:space="preserve">1、组合限制</w:t>
      </w:r>
      <w:r/>
    </w:p>
    <w:p>
      <w:pPr>
        <w:pStyle w:val="369"/>
        <w:ind w:firstLine="480"/>
        <w:snapToGrid w:val="1"/>
        <w:spacing w:lineRule="auto" w:line="360"/>
        <w:rPr>
          <w:rFonts w:ascii="宋体" w:hAnsi="宋体"/>
          <w:bCs/>
          <w:sz w:val="24"/>
        </w:rPr>
      </w:pPr>
      <w:r>
        <w:rPr>
          <w:rFonts w:ascii="宋体" w:hAnsi="宋体"/>
          <w:bCs/>
          <w:sz w:val="24"/>
        </w:rPr>
        <w:t xml:space="preserve">集合计划的投资组合应遵循以下限制：</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本集合计划股票占集合计划资产的投资比例为</w:t>
      </w:r>
      <w:r>
        <w:rPr>
          <w:rFonts w:ascii="宋体" w:hAnsi="宋体"/>
          <w:bCs/>
          <w:sz w:val="24"/>
        </w:rPr>
        <w:t xml:space="preserve">0-30%</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w:t>
      </w:r>
      <w:r>
        <w:rPr>
          <w:rFonts w:ascii="宋体" w:hAnsi="宋体"/>
          <w:bCs/>
          <w:sz w:val="24"/>
        </w:rPr>
        <w:t xml:space="preserve">）</w:t>
      </w:r>
      <w:r>
        <w:rPr>
          <w:rFonts w:ascii="宋体" w:hAnsi="宋体"/>
          <w:bCs/>
          <w:sz w:val="24"/>
        </w:rPr>
        <w:t xml:space="preserve">每个交易日日终在扣除股指期货、国债期货合约需缴纳的交易保证金后，</w:t>
      </w:r>
      <w:r>
        <w:rPr>
          <w:rFonts w:ascii="宋体" w:hAnsi="宋体"/>
          <w:bCs/>
          <w:sz w:val="24"/>
        </w:rPr>
        <w:t xml:space="preserve">保持不低于</w:t>
      </w:r>
      <w:r>
        <w:rPr>
          <w:rFonts w:ascii="宋体" w:hAnsi="宋体"/>
          <w:bCs/>
          <w:sz w:val="24"/>
        </w:rPr>
        <w:t xml:space="preserve">集合计划</w:t>
      </w:r>
      <w:r>
        <w:rPr>
          <w:rFonts w:ascii="宋体" w:hAnsi="宋体"/>
          <w:bCs/>
          <w:sz w:val="24"/>
        </w:rPr>
        <w:t xml:space="preserve">资产</w:t>
      </w:r>
      <w:r>
        <w:rPr>
          <w:rFonts w:ascii="宋体" w:hAnsi="宋体"/>
          <w:bCs/>
          <w:sz w:val="24"/>
        </w:rPr>
        <w:t xml:space="preserve">净值5%</w:t>
      </w:r>
      <w:r>
        <w:rPr>
          <w:rFonts w:ascii="宋体" w:hAnsi="宋体"/>
          <w:bCs/>
          <w:sz w:val="24"/>
        </w:rPr>
        <w:t xml:space="preserve">的现金或者到期日在一年以内的政府债券，其中现金不包括结算备付金、存出保证金和应收申购款等；</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（3）本集合计划持有一家公司发行的证券，其市值不超过集合计划资产净值的10％；</w:t>
      </w:r>
      <w:r/>
    </w:p>
    <w:p>
      <w:pPr>
        <w:pStyle w:val="369"/>
        <w:ind w:firstLine="480"/>
        <w:snapToGrid w:val="1"/>
        <w:spacing w:lineRule="auto" w:line="360"/>
        <w:rPr>
          <w:rFonts w:ascii="宋体" w:hAnsi="宋体"/>
          <w:bCs/>
          <w:sz w:val="24"/>
        </w:rPr>
      </w:pPr>
      <w:r>
        <w:rPr>
          <w:rFonts w:ascii="宋体" w:hAnsi="宋体"/>
          <w:bCs/>
          <w:sz w:val="24"/>
        </w:rPr>
        <w:t xml:space="preserve">（4）本集合计划管理人管理的全部公开募集性质的集合资产管理计划持有一家公司发行的证券，不超过该证券的10％</w:t>
      </w:r>
      <w:r>
        <w:rPr>
          <w:rFonts w:ascii="宋体" w:hAnsi="宋体"/>
          <w:bCs/>
          <w:sz w:val="24"/>
        </w:rPr>
        <w:t xml:space="preserve">，完全按照有关指数的构成比例进行证券投资的</w:t>
      </w:r>
      <w:r>
        <w:rPr>
          <w:rFonts w:ascii="宋体" w:hAnsi="宋体"/>
          <w:bCs/>
          <w:sz w:val="24"/>
        </w:rPr>
        <w:t xml:space="preserve">集合资产管理计划</w:t>
      </w:r>
      <w:r>
        <w:rPr>
          <w:rFonts w:ascii="宋体" w:hAnsi="宋体"/>
          <w:bCs/>
          <w:sz w:val="24"/>
        </w:rPr>
        <w:t xml:space="preserve">品种可以不受此条款规定的比例限制</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5</w:t>
      </w:r>
      <w:r>
        <w:rPr>
          <w:rFonts w:ascii="宋体" w:hAnsi="宋体"/>
          <w:bCs/>
          <w:sz w:val="24"/>
        </w:rPr>
        <w:t xml:space="preserve">）本集合计划投资于同一原始权益人的各类资产支持证券的比例，不得超过集合计划资产净值的10％；</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6</w:t>
      </w:r>
      <w:r>
        <w:rPr>
          <w:rFonts w:ascii="宋体" w:hAnsi="宋体"/>
          <w:bCs/>
          <w:sz w:val="24"/>
        </w:rPr>
        <w:t xml:space="preserve">）本集合计划持有的全部资产支持</w:t>
      </w:r>
      <w:r>
        <w:rPr>
          <w:rFonts w:ascii="宋体" w:hAnsi="宋体"/>
          <w:bCs/>
          <w:sz w:val="24"/>
        </w:rPr>
        <w:t xml:space="preserve">证券，其市值不得超过集合计划资产净值的20％；</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7</w:t>
      </w:r>
      <w:r>
        <w:rPr>
          <w:rFonts w:ascii="宋体" w:hAnsi="宋体"/>
          <w:bCs/>
          <w:sz w:val="24"/>
        </w:rPr>
        <w:t xml:space="preserve">）本集合计划持有的同一(指同一信用级别)资产支持证券的比例，不得超过该资产支持证券规模的10％；</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8</w:t>
      </w:r>
      <w:r>
        <w:rPr>
          <w:rFonts w:ascii="宋体" w:hAnsi="宋体"/>
          <w:bCs/>
          <w:sz w:val="24"/>
        </w:rPr>
        <w:t xml:space="preserve">）本集合计划管理人管理的全部公开募集性质的集合资产管理计划投资于同一原始权益人的各类资产支持证券，不得超过其各类资产支持证券合计规模的10％；</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9</w:t>
      </w:r>
      <w:r>
        <w:rPr>
          <w:rFonts w:ascii="宋体" w:hAnsi="宋体"/>
          <w:bCs/>
          <w:sz w:val="24"/>
        </w:rPr>
        <w:t xml:space="preserve">）本集合计划应投资于信用级别评级为BBB以上(含BBB)的资产支持证券。集合计划持有资产支持证券期间，如果其信用等级下降、不再符合投资标准，应在评级报告发布之日起3个月内予以全部卖出；</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（10）</w:t>
      </w:r>
      <w:r>
        <w:rPr>
          <w:rFonts w:ascii="宋体" w:hAnsi="宋体"/>
          <w:bCs/>
          <w:sz w:val="24"/>
        </w:rPr>
        <w:t xml:space="preserve">集合计划</w:t>
      </w:r>
      <w:r>
        <w:rPr>
          <w:rFonts w:ascii="宋体" w:hAnsi="宋体"/>
          <w:bCs/>
          <w:sz w:val="24"/>
        </w:rPr>
        <w:t xml:space="preserve">财产参与</w:t>
      </w:r>
      <w:r>
        <w:rPr>
          <w:rFonts w:ascii="宋体" w:hAnsi="宋体"/>
          <w:bCs/>
          <w:sz w:val="24"/>
        </w:rPr>
        <w:t xml:space="preserve">股票发行申购，本集合计划所申报的金额不超过本集合计划的总资产，本集合计划所申报的股票数量不超过拟发行股票公司本次发行股票的总量；</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1</w:t>
      </w:r>
      <w:r>
        <w:rPr>
          <w:rFonts w:ascii="宋体" w:hAnsi="宋体"/>
          <w:bCs/>
          <w:sz w:val="24"/>
        </w:rPr>
        <w:t xml:space="preserve">）本集合计划进入全国银行间同业市场进行债券回购的资金余额不得超过集合计划资产净值的40%，</w:t>
      </w:r>
      <w:r>
        <w:rPr>
          <w:rFonts w:ascii="宋体" w:hAnsi="宋体"/>
          <w:bCs/>
          <w:sz w:val="24"/>
        </w:rPr>
        <w:t xml:space="preserve">进入</w:t>
      </w:r>
      <w:r>
        <w:rPr>
          <w:rFonts w:ascii="宋体" w:hAnsi="宋体"/>
          <w:bCs/>
          <w:sz w:val="24"/>
        </w:rPr>
        <w:t xml:space="preserve">全国银行间同业市场</w:t>
      </w:r>
      <w:r>
        <w:rPr>
          <w:rFonts w:ascii="宋体" w:hAnsi="宋体"/>
          <w:bCs/>
          <w:sz w:val="24"/>
        </w:rPr>
        <w:t xml:space="preserve">进行</w:t>
      </w:r>
      <w:r>
        <w:rPr>
          <w:rFonts w:ascii="宋体" w:hAnsi="宋体"/>
          <w:bCs/>
          <w:sz w:val="24"/>
        </w:rPr>
        <w:t xml:space="preserve">债券回购的最长期限为1年，债券回购到期后不得展期；</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12</w:t>
      </w:r>
      <w:r>
        <w:rPr>
          <w:rFonts w:ascii="宋体" w:hAnsi="宋体"/>
          <w:bCs/>
          <w:sz w:val="24"/>
        </w:rPr>
        <w:t xml:space="preserve">）本集合计划管理人管理的全部公开募集性质的开放式集合</w:t>
      </w:r>
      <w:r>
        <w:rPr>
          <w:rFonts w:ascii="宋体" w:hAnsi="宋体"/>
          <w:bCs/>
          <w:sz w:val="24"/>
        </w:rPr>
        <w:t xml:space="preserve">资产管理计划</w:t>
      </w:r>
      <w:r>
        <w:rPr>
          <w:rFonts w:ascii="宋体" w:hAnsi="宋体"/>
          <w:bCs/>
          <w:sz w:val="24"/>
        </w:rPr>
        <w:t xml:space="preserve">(包括开放式集合资产管理计划以及处于开放期的定期开放集合资产管理计划)持有一家上市公司发行的可流通股票，不得超过该上市公司可流通股票的15</w:t>
      </w:r>
      <w:r>
        <w:rPr>
          <w:rFonts w:ascii="宋体" w:hAnsi="宋体"/>
          <w:bCs/>
          <w:sz w:val="24"/>
        </w:rPr>
        <w:t xml:space="preserve">%；本集合计划管理人管理的全部投资组合持有一家上市公司发行的可流通股票，不得超过该上市公司可流通股票的30%，</w:t>
      </w:r>
      <w:r>
        <w:rPr>
          <w:rFonts w:ascii="宋体" w:hAnsi="宋体"/>
          <w:bCs/>
          <w:sz w:val="24"/>
        </w:rPr>
        <w:t xml:space="preserve">完全按照有关指数的构成比例进行证券投资的开放式集合计划以及中国证监会认定的特殊投资组合可不受前述比例限制</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13</w:t>
      </w:r>
      <w:r>
        <w:rPr>
          <w:rFonts w:ascii="宋体" w:hAnsi="宋体"/>
          <w:bCs/>
          <w:sz w:val="24"/>
        </w:rPr>
        <w:t xml:space="preserve">）本集合计划主动投资于流动性受限资产的市值合计不得超过集合计划资产净值的15%；因证券市场波动、上市公司股票停牌、集合计划规模变动等管理人之外的因素致使集合计划不符合该比例限制的，管理人不得主动新增流动性受限资产的投资；</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14</w:t>
      </w:r>
      <w:r>
        <w:rPr>
          <w:rFonts w:ascii="宋体" w:hAnsi="宋体"/>
          <w:bCs/>
          <w:sz w:val="24"/>
        </w:rPr>
        <w:t xml:space="preserve">）本集合计划与私募类证券资管产品及中国证监会认定的其他主体为</w:t>
      </w:r>
      <w:r>
        <w:rPr>
          <w:rFonts w:ascii="宋体" w:hAnsi="宋体"/>
          <w:bCs/>
          <w:sz w:val="24"/>
        </w:rPr>
        <w:t xml:space="preserve">交易对手开展逆回购交易的，可接受质押品的资质要求应当与集合计划合同约定的投资范围保持一致；</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15</w:t>
      </w:r>
      <w:r>
        <w:rPr>
          <w:rFonts w:ascii="宋体" w:hAnsi="宋体"/>
          <w:bCs/>
          <w:sz w:val="24"/>
        </w:rPr>
        <w:t xml:space="preserve">）集合计划资产总值不得超过集合计划资产净值的140%；</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6</w:t>
      </w:r>
      <w:r>
        <w:rPr>
          <w:rFonts w:ascii="宋体" w:hAnsi="宋体"/>
          <w:bCs/>
          <w:sz w:val="24"/>
        </w:rPr>
        <w:t xml:space="preserve">）本集合计划参与股指期货、国债期货投资，应遵循下列限制：</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）集合计划在任何交易日日终，持有的买入股指期货合约价值，不得超过集合计划资产净值的</w:t>
      </w:r>
      <w:r>
        <w:rPr>
          <w:rFonts w:ascii="宋体" w:hAnsi="宋体"/>
          <w:bCs/>
          <w:sz w:val="24"/>
        </w:rPr>
        <w:t xml:space="preserve">10%</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）集合计划在任何交易日日终，持有的卖出股指期货合约价值不得超过集合计划持有的股票总市值的</w:t>
      </w:r>
      <w:r>
        <w:rPr>
          <w:rFonts w:ascii="宋体" w:hAnsi="宋体"/>
          <w:bCs/>
          <w:sz w:val="24"/>
        </w:rPr>
        <w:t xml:space="preserve">20%</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）集合计划在任何交易日内交易（不包括平仓）的股指期货合约的成交金额不得超过上一交易日集合计划资产净</w:t>
      </w:r>
      <w:r>
        <w:rPr>
          <w:rFonts w:ascii="宋体" w:hAnsi="宋体"/>
          <w:bCs/>
          <w:sz w:val="24"/>
        </w:rPr>
        <w:t xml:space="preserve">值的</w:t>
      </w:r>
      <w:r>
        <w:rPr>
          <w:rFonts w:ascii="宋体" w:hAnsi="宋体"/>
          <w:bCs/>
          <w:sz w:val="24"/>
        </w:rPr>
        <w:t xml:space="preserve">20%</w:t>
      </w:r>
      <w:r>
        <w:rPr>
          <w:rFonts w:ascii="宋体" w:hAnsi="宋体"/>
          <w:bCs/>
          <w:sz w:val="24"/>
        </w:rPr>
        <w:t xml:space="preserve">；集合计划所持有的股票市值和买入、卖出股指期货合约价值，合计（轧差计算）应当符合集合计划合同关于股票投资比例的有关约定；</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）集合计划在任何交易日日终，持有的买入国债期货合约价值，不得超过集合计划资产净值的</w:t>
      </w:r>
      <w:r>
        <w:rPr>
          <w:rFonts w:ascii="宋体" w:hAnsi="宋体"/>
          <w:bCs/>
          <w:sz w:val="24"/>
        </w:rPr>
        <w:t xml:space="preserve">15%</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）集合计划在任何交易日日终，持有的卖出国债期货合约价值不得超过集合计划持有的债券总市值的</w:t>
      </w:r>
      <w:r>
        <w:rPr>
          <w:rFonts w:ascii="宋体" w:hAnsi="宋体"/>
          <w:bCs/>
          <w:sz w:val="24"/>
        </w:rPr>
        <w:t xml:space="preserve">30%</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6</w:t>
      </w:r>
      <w:r>
        <w:rPr>
          <w:rFonts w:ascii="宋体" w:hAnsi="宋体"/>
          <w:bCs/>
          <w:sz w:val="24"/>
        </w:rPr>
        <w:t xml:space="preserve">）集合计划在任何交易日内交易（不包括平仓）的国债期货合约的成交金额不得超过上一交易日集合计划资产净值的</w:t>
      </w:r>
      <w:r>
        <w:rPr>
          <w:rFonts w:ascii="宋体" w:hAnsi="宋体"/>
          <w:bCs/>
          <w:sz w:val="24"/>
        </w:rPr>
        <w:t xml:space="preserve">30%</w:t>
      </w:r>
      <w:r>
        <w:rPr>
          <w:rFonts w:ascii="宋体" w:hAnsi="宋体"/>
          <w:bCs/>
          <w:sz w:val="24"/>
        </w:rPr>
        <w:t xml:space="preserve">；集合计划所持有的债券（不含到期日在一年以内的政府债券）市值和买入、卖出国债</w:t>
      </w:r>
      <w:r>
        <w:rPr>
          <w:rFonts w:ascii="宋体" w:hAnsi="宋体"/>
          <w:bCs/>
          <w:sz w:val="24"/>
        </w:rPr>
        <w:t xml:space="preserve">期货合约价值，合计（轧差计算）应当符合集合计划合同关于债券投资比例的有关约定；</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7</w:t>
      </w:r>
      <w:r>
        <w:rPr>
          <w:rFonts w:ascii="宋体" w:hAnsi="宋体"/>
          <w:bCs/>
          <w:sz w:val="24"/>
        </w:rPr>
        <w:t xml:space="preserve">）在任何交易日日终，持有的买入国债期货和股指期货合约价值与有价证券市值之和，不得超过集合计划资产净值的</w:t>
      </w:r>
      <w:r>
        <w:rPr>
          <w:rFonts w:ascii="宋体" w:hAnsi="宋体"/>
          <w:bCs/>
          <w:sz w:val="24"/>
        </w:rPr>
        <w:t xml:space="preserve">95%</w:t>
      </w:r>
      <w:r>
        <w:rPr>
          <w:rFonts w:ascii="宋体" w:hAnsi="宋体"/>
          <w:bCs/>
          <w:sz w:val="24"/>
        </w:rPr>
        <w:t xml:space="preserve">，其中，有价证券指股票、债券</w:t>
      </w:r>
      <w:r>
        <w:rPr>
          <w:rFonts w:ascii="宋体" w:hAnsi="宋体"/>
          <w:bCs/>
          <w:sz w:val="24"/>
        </w:rPr>
        <w:t xml:space="preserve">(</w:t>
      </w:r>
      <w:r>
        <w:rPr>
          <w:rFonts w:ascii="宋体" w:hAnsi="宋体"/>
          <w:bCs/>
          <w:sz w:val="24"/>
        </w:rPr>
        <w:t xml:space="preserve">不含到期日在一年以内的政府债券</w:t>
      </w:r>
      <w:r>
        <w:rPr>
          <w:rFonts w:ascii="宋体" w:hAnsi="宋体"/>
          <w:bCs/>
          <w:sz w:val="24"/>
        </w:rPr>
        <w:t xml:space="preserve">)</w:t>
      </w:r>
      <w:r>
        <w:rPr>
          <w:rFonts w:ascii="宋体" w:hAnsi="宋体"/>
          <w:bCs/>
          <w:sz w:val="24"/>
        </w:rPr>
        <w:t xml:space="preserve">、资产支持证券、买入返售金融资产</w:t>
      </w:r>
      <w:r>
        <w:rPr>
          <w:rFonts w:ascii="宋体" w:hAnsi="宋体"/>
          <w:bCs/>
          <w:sz w:val="24"/>
        </w:rPr>
        <w:t xml:space="preserve">(</w:t>
      </w:r>
      <w:r>
        <w:rPr>
          <w:rFonts w:ascii="宋体" w:hAnsi="宋体"/>
          <w:bCs/>
          <w:sz w:val="24"/>
        </w:rPr>
        <w:t xml:space="preserve">不含质押式回购</w:t>
      </w:r>
      <w:r>
        <w:rPr>
          <w:rFonts w:ascii="宋体" w:hAnsi="宋体"/>
          <w:bCs/>
          <w:sz w:val="24"/>
        </w:rPr>
        <w:t xml:space="preserve">)</w:t>
      </w:r>
      <w:r>
        <w:rPr>
          <w:rFonts w:ascii="宋体" w:hAnsi="宋体"/>
          <w:bCs/>
          <w:sz w:val="24"/>
        </w:rPr>
        <w:t xml:space="preserve">等；</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17</w:t>
      </w:r>
      <w:r>
        <w:rPr>
          <w:rFonts w:ascii="宋体" w:hAnsi="宋体"/>
          <w:bCs/>
          <w:sz w:val="24"/>
        </w:rPr>
        <w:t xml:space="preserve">）法律法规及中国证监会规定的和《集合计划合同》约定的其他投资限制。</w:t>
      </w:r>
      <w:r/>
    </w:p>
    <w:p>
      <w:pPr>
        <w:pStyle w:val="369"/>
        <w:ind w:firstLine="480"/>
        <w:snapToGrid w:val="1"/>
        <w:spacing w:lineRule="auto" w:line="360"/>
        <w:rPr>
          <w:rFonts w:ascii="宋体" w:hAnsi="宋体"/>
          <w:bCs/>
          <w:sz w:val="24"/>
        </w:rPr>
      </w:pPr>
      <w:r>
        <w:rPr>
          <w:rFonts w:ascii="宋体" w:hAnsi="宋体"/>
          <w:bCs/>
          <w:sz w:val="24"/>
        </w:rPr>
        <w:t xml:space="preserve">除上述（2）、（</w:t>
      </w:r>
      <w:r>
        <w:rPr>
          <w:rFonts w:ascii="宋体" w:hAnsi="宋体"/>
          <w:bCs/>
          <w:sz w:val="24"/>
        </w:rPr>
        <w:t xml:space="preserve">9</w:t>
      </w:r>
      <w:r>
        <w:rPr>
          <w:rFonts w:ascii="宋体" w:hAnsi="宋体"/>
          <w:bCs/>
          <w:sz w:val="24"/>
        </w:rPr>
        <w:t xml:space="preserve">）、（1</w:t>
      </w:r>
      <w:r>
        <w:rPr>
          <w:rFonts w:ascii="宋体" w:hAnsi="宋体"/>
          <w:bCs/>
          <w:sz w:val="24"/>
        </w:rPr>
        <w:t xml:space="preserve">3</w:t>
      </w:r>
      <w:r>
        <w:rPr>
          <w:rFonts w:ascii="宋体" w:hAnsi="宋体"/>
          <w:bCs/>
          <w:sz w:val="24"/>
        </w:rPr>
        <w:t xml:space="preserve">）、（1</w:t>
      </w:r>
      <w:r>
        <w:rPr>
          <w:rFonts w:ascii="宋体" w:hAnsi="宋体"/>
          <w:bCs/>
          <w:sz w:val="24"/>
        </w:rPr>
        <w:t xml:space="preserve">4</w:t>
      </w:r>
      <w:r>
        <w:rPr>
          <w:rFonts w:ascii="宋体" w:hAnsi="宋体"/>
          <w:bCs/>
          <w:sz w:val="24"/>
        </w:rPr>
        <w:t xml:space="preserve">）情形之外，因证券/期货市场波动、证券发行人合并、集合计划规模变动等管理人之外的因素致使集合</w:t>
      </w:r>
      <w:r>
        <w:rPr>
          <w:rFonts w:ascii="宋体" w:hAnsi="宋体"/>
          <w:bCs/>
          <w:sz w:val="24"/>
        </w:rPr>
        <w:t xml:space="preserve">计划投资比例不符合上述规定投资比例的，管理人应当在10个交易日内进行调整。法律法规或监管机构另有规定的，从其规定。</w:t>
      </w:r>
      <w:r/>
    </w:p>
    <w:p>
      <w:pPr>
        <w:pStyle w:val="369"/>
        <w:ind w:firstLine="480"/>
        <w:snapToGrid w:val="1"/>
        <w:spacing w:lineRule="auto" w:line="360"/>
        <w:rPr>
          <w:rFonts w:ascii="宋体" w:hAnsi="宋体"/>
          <w:bCs/>
          <w:sz w:val="24"/>
        </w:rPr>
      </w:pPr>
      <w:r>
        <w:rPr>
          <w:rFonts w:ascii="宋体" w:hAnsi="宋体"/>
          <w:bCs/>
          <w:sz w:val="24"/>
        </w:rPr>
        <w:t xml:space="preserve">管理人应当自集合计划合同生效之日起</w:t>
      </w:r>
      <w:r>
        <w:rPr>
          <w:rFonts w:ascii="宋体" w:hAnsi="宋体"/>
          <w:bCs/>
          <w:sz w:val="24"/>
        </w:rPr>
        <w:t xml:space="preserve">6</w:t>
      </w:r>
      <w:r>
        <w:rPr>
          <w:rFonts w:ascii="宋体" w:hAnsi="宋体"/>
          <w:bCs/>
          <w:sz w:val="24"/>
        </w:rPr>
        <w:t xml:space="preserve">个月内使集合计划的投资组合比例符合集合计划合同的有关约定。在上述期间内，本集合计划的投资范围、投资策略应当符合本合同的约定。托管人对集合计划的投资的监督与检查自本合同生效之日起开始。</w:t>
      </w:r>
      <w:r/>
    </w:p>
    <w:p>
      <w:pPr>
        <w:pStyle w:val="369"/>
        <w:ind w:firstLine="480"/>
        <w:snapToGrid w:val="1"/>
        <w:spacing w:lineRule="auto" w:line="360"/>
        <w:rPr>
          <w:rFonts w:ascii="宋体" w:hAnsi="宋体"/>
          <w:bCs/>
          <w:sz w:val="24"/>
        </w:rPr>
      </w:pPr>
      <w:r>
        <w:rPr>
          <w:rFonts w:ascii="宋体" w:hAnsi="宋体"/>
          <w:bCs/>
          <w:sz w:val="24"/>
        </w:rPr>
        <w:t xml:space="preserve">法律法规或监管部门取消或变更上述限制，如适用于本集合计划，管理人在履行适当程序后，则本集合计划投资不再受相关限制或以变更后的规定为准，但须提前公告，不需要经集合计划份额持有人大</w:t>
      </w:r>
      <w:r>
        <w:rPr>
          <w:rFonts w:ascii="宋体" w:hAnsi="宋体"/>
          <w:bCs/>
          <w:sz w:val="24"/>
        </w:rPr>
        <w:t xml:space="preserve">会审议。</w:t>
      </w:r>
      <w:r/>
    </w:p>
    <w:p>
      <w:pPr>
        <w:pStyle w:val="369"/>
        <w:ind w:firstLine="480"/>
        <w:snapToGrid w:val="1"/>
        <w:spacing w:lineRule="auto" w:line="360"/>
        <w:rPr>
          <w:rFonts w:ascii="宋体" w:hAnsi="宋体"/>
          <w:bCs/>
          <w:sz w:val="24"/>
        </w:rPr>
      </w:pPr>
      <w:r>
        <w:rPr>
          <w:rFonts w:ascii="宋体" w:hAnsi="宋体"/>
          <w:bCs/>
          <w:sz w:val="24"/>
        </w:rPr>
        <w:t xml:space="preserve">2、禁止行为</w:t>
      </w:r>
      <w:r/>
    </w:p>
    <w:p>
      <w:pPr>
        <w:pStyle w:val="369"/>
        <w:ind w:firstLine="480"/>
        <w:snapToGrid w:val="1"/>
        <w:spacing w:lineRule="auto" w:line="360"/>
        <w:rPr>
          <w:rFonts w:ascii="宋体" w:hAnsi="宋体"/>
          <w:bCs/>
          <w:sz w:val="24"/>
        </w:rPr>
      </w:pPr>
      <w:r>
        <w:rPr>
          <w:rFonts w:ascii="宋体" w:hAnsi="宋体"/>
          <w:bCs/>
          <w:sz w:val="24"/>
        </w:rPr>
        <w:t xml:space="preserve">为维护集合计划份额持有人的合法权益，</w:t>
      </w:r>
      <w:r>
        <w:rPr>
          <w:rFonts w:ascii="宋体" w:hAnsi="宋体"/>
          <w:bCs/>
          <w:sz w:val="24"/>
        </w:rPr>
        <w:t xml:space="preserve">集合计划</w:t>
      </w:r>
      <w:r>
        <w:rPr>
          <w:rFonts w:ascii="宋体" w:hAnsi="宋体"/>
          <w:bCs/>
          <w:sz w:val="24"/>
        </w:rPr>
        <w:t xml:space="preserve">财产不得用于下列投资或者活动：</w:t>
      </w:r>
      <w:r/>
    </w:p>
    <w:p>
      <w:pPr>
        <w:pStyle w:val="369"/>
        <w:ind w:firstLine="480"/>
        <w:snapToGrid w:val="1"/>
        <w:spacing w:lineRule="auto" w:line="360"/>
        <w:rPr>
          <w:rFonts w:ascii="宋体" w:hAnsi="宋体"/>
          <w:bCs/>
          <w:sz w:val="24"/>
        </w:rPr>
      </w:pPr>
      <w:r>
        <w:rPr>
          <w:rFonts w:ascii="宋体" w:hAnsi="宋体"/>
          <w:bCs/>
          <w:sz w:val="24"/>
        </w:rPr>
        <w:t xml:space="preserve">（1）承销证券；</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2</w:t>
      </w:r>
      <w:r>
        <w:rPr>
          <w:rFonts w:ascii="宋体" w:hAnsi="宋体"/>
          <w:bCs/>
          <w:sz w:val="24"/>
        </w:rPr>
        <w:t xml:space="preserve">）</w:t>
      </w:r>
      <w:r>
        <w:rPr>
          <w:rFonts w:ascii="宋体" w:hAnsi="宋体"/>
          <w:bCs/>
          <w:sz w:val="24"/>
        </w:rPr>
        <w:t xml:space="preserve">违反规定</w:t>
      </w:r>
      <w:r>
        <w:rPr>
          <w:rFonts w:ascii="宋体" w:hAnsi="宋体"/>
          <w:bCs/>
          <w:sz w:val="24"/>
        </w:rPr>
        <w:t xml:space="preserve">向他人贷款或者提供担保；</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3</w:t>
      </w:r>
      <w:r>
        <w:rPr>
          <w:rFonts w:ascii="宋体" w:hAnsi="宋体"/>
          <w:bCs/>
          <w:sz w:val="24"/>
        </w:rPr>
        <w:t xml:space="preserve">）从事承担无限责任的投资；</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4</w:t>
      </w:r>
      <w:r>
        <w:rPr>
          <w:rFonts w:ascii="宋体" w:hAnsi="宋体"/>
          <w:bCs/>
          <w:sz w:val="24"/>
        </w:rPr>
        <w:t xml:space="preserve">）买卖其他</w:t>
      </w:r>
      <w:r>
        <w:rPr>
          <w:rFonts w:ascii="宋体" w:hAnsi="宋体"/>
          <w:bCs/>
          <w:sz w:val="24"/>
        </w:rPr>
        <w:t xml:space="preserve">集合资产</w:t>
      </w:r>
      <w:r>
        <w:rPr>
          <w:rFonts w:ascii="宋体" w:hAnsi="宋体"/>
          <w:bCs/>
          <w:sz w:val="24"/>
        </w:rPr>
        <w:t xml:space="preserve">管理</w:t>
      </w:r>
      <w:r>
        <w:rPr>
          <w:rFonts w:ascii="宋体" w:hAnsi="宋体"/>
          <w:bCs/>
          <w:sz w:val="24"/>
        </w:rPr>
        <w:t xml:space="preserve">计划</w:t>
      </w:r>
      <w:r>
        <w:rPr>
          <w:rFonts w:ascii="宋体" w:hAnsi="宋体"/>
          <w:bCs/>
          <w:sz w:val="24"/>
        </w:rPr>
        <w:t xml:space="preserve">份额或基金份额，但是</w:t>
      </w:r>
      <w:r>
        <w:rPr>
          <w:rFonts w:ascii="宋体" w:hAnsi="宋体"/>
          <w:bCs/>
          <w:sz w:val="24"/>
        </w:rPr>
        <w:t xml:space="preserve">中国证监会</w:t>
      </w:r>
      <w:r>
        <w:rPr>
          <w:rFonts w:ascii="宋体" w:hAnsi="宋体"/>
          <w:bCs/>
          <w:sz w:val="24"/>
        </w:rPr>
        <w:t xml:space="preserve">另有规定的除外；</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5</w:t>
      </w:r>
      <w:r>
        <w:rPr>
          <w:rFonts w:ascii="宋体" w:hAnsi="宋体"/>
          <w:bCs/>
          <w:sz w:val="24"/>
        </w:rPr>
        <w:t xml:space="preserve">）向管理人、托管人出资；</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6</w:t>
      </w:r>
      <w:r>
        <w:rPr>
          <w:rFonts w:ascii="宋体" w:hAnsi="宋体"/>
          <w:bCs/>
          <w:sz w:val="24"/>
        </w:rPr>
        <w:t xml:space="preserve">）从事内幕交易、操纵证券交易价格及其他不正当的证券交易活动；</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7</w:t>
      </w:r>
      <w:r>
        <w:rPr>
          <w:rFonts w:ascii="宋体" w:hAnsi="宋体"/>
          <w:bCs/>
          <w:sz w:val="24"/>
        </w:rPr>
        <w:t xml:space="preserve">）法律</w:t>
      </w:r>
      <w:r>
        <w:rPr>
          <w:rFonts w:ascii="宋体" w:hAnsi="宋体"/>
          <w:bCs/>
          <w:sz w:val="24"/>
        </w:rPr>
        <w:t xml:space="preserve">、行政</w:t>
      </w:r>
      <w:r>
        <w:rPr>
          <w:rFonts w:ascii="宋体" w:hAnsi="宋体"/>
          <w:bCs/>
          <w:sz w:val="24"/>
        </w:rPr>
        <w:t xml:space="preserve">法规</w:t>
      </w:r>
      <w:r>
        <w:rPr>
          <w:rFonts w:ascii="宋体" w:hAnsi="宋体"/>
          <w:bCs/>
          <w:sz w:val="24"/>
        </w:rPr>
        <w:t xml:space="preserve">和</w:t>
      </w:r>
      <w:r>
        <w:rPr>
          <w:rFonts w:ascii="宋体" w:hAnsi="宋体"/>
          <w:bCs/>
          <w:sz w:val="24"/>
        </w:rPr>
        <w:t xml:space="preserve">中国证监会规定禁止的其他活动</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管理人运用</w:t>
      </w:r>
      <w:r>
        <w:rPr>
          <w:rFonts w:ascii="宋体" w:hAnsi="宋体"/>
          <w:bCs/>
          <w:sz w:val="24"/>
        </w:rPr>
        <w:t xml:space="preserve">集合计划</w:t>
      </w:r>
      <w:r>
        <w:rPr>
          <w:rFonts w:ascii="宋体" w:hAnsi="宋体"/>
          <w:bCs/>
          <w:sz w:val="24"/>
        </w:rPr>
        <w:t xml:space="preserve">财产买卖管理人、托管人及其控股股东、实际控制人或者与其有重大利害关系的公司发</w:t>
      </w:r>
      <w:r>
        <w:rPr>
          <w:rFonts w:ascii="宋体" w:hAnsi="宋体"/>
          <w:bCs/>
          <w:sz w:val="24"/>
        </w:rPr>
        <w:t xml:space="preserve">行的证券或者承销期内承销的证券，或者从事其他重大关联交易的，应当符合</w:t>
      </w:r>
      <w:r>
        <w:rPr>
          <w:rFonts w:ascii="宋体" w:hAnsi="宋体"/>
          <w:bCs/>
          <w:sz w:val="24"/>
        </w:rPr>
        <w:t xml:space="preserve">集合计划</w:t>
      </w:r>
      <w:r>
        <w:rPr>
          <w:rFonts w:ascii="宋体" w:hAnsi="宋体"/>
          <w:bCs/>
          <w:sz w:val="24"/>
        </w:rPr>
        <w:t xml:space="preserve">的投资目标和投资策略，遵循</w:t>
      </w:r>
      <w:r>
        <w:rPr>
          <w:rFonts w:ascii="宋体" w:hAnsi="宋体"/>
          <w:bCs/>
          <w:sz w:val="24"/>
        </w:rPr>
        <w:t xml:space="preserve">集合计划</w:t>
      </w:r>
      <w:r>
        <w:rPr>
          <w:rFonts w:ascii="宋体" w:hAnsi="宋体"/>
          <w:bCs/>
          <w:sz w:val="24"/>
        </w:rPr>
        <w:t xml:space="preserve">份额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r/>
    </w:p>
    <w:p>
      <w:pPr>
        <w:pStyle w:val="369"/>
        <w:ind w:firstLine="480"/>
        <w:snapToGrid w:val="1"/>
        <w:spacing w:lineRule="auto" w:line="360"/>
        <w:rPr>
          <w:rFonts w:ascii="宋体" w:hAnsi="宋体"/>
          <w:bCs/>
          <w:sz w:val="24"/>
        </w:rPr>
      </w:pPr>
      <w:r>
        <w:rPr>
          <w:rFonts w:ascii="宋体" w:hAnsi="宋体"/>
          <w:bCs/>
          <w:sz w:val="24"/>
        </w:rPr>
        <w:t xml:space="preserve">法律法规或监管部门取消上述组合限制、禁止行为规定或从事关联交易的条件和要求，本集合计划可不受相关限制。法律法规或监管部门对上述组合</w:t>
      </w:r>
      <w:r>
        <w:rPr>
          <w:rFonts w:ascii="宋体" w:hAnsi="宋体"/>
          <w:bCs/>
          <w:sz w:val="24"/>
        </w:rPr>
        <w:t xml:space="preserve">限制、禁止行为规定或从事关联交易的条件和要求进行变更的，本集合计划可以变更后的规定为准。经与托管人协商一致并履行适当程序，管理人可依据法律法规或监管部门规定直接对集合计划合同进行变更，该变更无须召开集合计划份额持有人大会审议。</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（三）侧袋机制的实施和投资运作安排</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当集合计划持有特定资产且存在或潜在大额赎回申请时，根据最大限度保护集合计划份额持有人利益的原则，管理人经与托管人协商一致，并咨询会计师事务所意见后，可以依照法律法规及本合同的约定启用侧袋机制。</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侧袋机制实施期间，本部分约定的投资组合比例、投资策略、</w:t>
      </w:r>
      <w:r>
        <w:rPr>
          <w:rFonts w:ascii="宋体" w:hAnsi="宋体"/>
          <w:bCs/>
          <w:sz w:val="24"/>
        </w:rPr>
        <w:t xml:space="preserve">组合限制、业绩比较基准、风险收益特征等约定仅适用于主袋账户。</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侧袋账户的实施条件、实施程序、运作安排、投资安排、特定资产的处置变现和支付等对投资者权益有重大影响的事项详见招募说明书的规定。</w:t>
      </w:r>
      <w:r/>
    </w:p>
    <w:p>
      <w:pPr>
        <w:pStyle w:val="369"/>
        <w:ind w:firstLine="480"/>
        <w:snapToGrid w:val="1"/>
        <w:spacing w:lineRule="auto" w:line="360"/>
        <w:rPr>
          <w:rFonts w:ascii="宋体" w:hAnsi="宋体"/>
          <w:bCs/>
          <w:sz w:val="24"/>
        </w:rPr>
      </w:pPr>
      <w:r>
        <w:rPr>
          <w:rFonts w:ascii="宋体" w:hAnsi="宋体"/>
          <w:bCs/>
          <w:sz w:val="24"/>
        </w:rPr>
        <w:t xml:space="preserve">六、集合计划资产净值的计算方法和公告方式</w:t>
      </w:r>
      <w:r/>
    </w:p>
    <w:p>
      <w:pPr>
        <w:pStyle w:val="369"/>
        <w:ind w:firstLine="480"/>
        <w:snapToGrid w:val="1"/>
        <w:spacing w:lineRule="auto" w:line="360"/>
        <w:rPr>
          <w:rFonts w:ascii="宋体" w:hAnsi="宋体"/>
          <w:bCs/>
          <w:sz w:val="24"/>
        </w:rPr>
      </w:pPr>
      <w:r>
        <w:rPr>
          <w:rFonts w:ascii="宋体" w:hAnsi="宋体"/>
          <w:sz w:val="24"/>
        </w:rPr>
        <w:t xml:space="preserve">（一）</w:t>
      </w:r>
      <w:r>
        <w:rPr>
          <w:rFonts w:ascii="宋体" w:hAnsi="宋体"/>
          <w:bCs/>
          <w:sz w:val="24"/>
        </w:rPr>
        <w:t xml:space="preserve">估值方法</w:t>
      </w:r>
      <w:r/>
    </w:p>
    <w:p>
      <w:pPr>
        <w:pStyle w:val="369"/>
        <w:ind w:firstLine="480"/>
        <w:snapToGrid w:val="1"/>
        <w:spacing w:lineRule="auto" w:line="360"/>
        <w:rPr>
          <w:rFonts w:ascii="宋体" w:hAnsi="宋体"/>
          <w:bCs/>
          <w:sz w:val="24"/>
        </w:rPr>
      </w:pPr>
      <w:r>
        <w:rPr>
          <w:rFonts w:ascii="宋体" w:hAnsi="宋体"/>
          <w:bCs/>
          <w:sz w:val="24"/>
        </w:rPr>
        <w:t xml:space="preserve">1、证券交易所上市的有价证券的估值</w:t>
      </w:r>
      <w:r/>
    </w:p>
    <w:p>
      <w:pPr>
        <w:pStyle w:val="369"/>
        <w:ind w:firstLine="480"/>
        <w:snapToGrid w:val="1"/>
        <w:spacing w:lineRule="auto" w:line="360"/>
        <w:rPr>
          <w:rFonts w:ascii="宋体" w:hAnsi="宋体"/>
          <w:bCs/>
          <w:sz w:val="24"/>
        </w:rPr>
      </w:pPr>
      <w:r>
        <w:rPr>
          <w:rFonts w:ascii="宋体" w:hAnsi="宋体"/>
          <w:bCs/>
          <w:sz w:val="24"/>
        </w:rPr>
        <w:t xml:space="preserve">（1）交易所上市的有价证券（包括股票等），以其估值日在证券交易所挂牌的市价（收盘价）估值；估值日无交易的，且最近交易日后经济环境未发生重大变化</w:t>
      </w:r>
      <w:r>
        <w:rPr>
          <w:rFonts w:ascii="宋体" w:hAnsi="宋体"/>
          <w:bCs/>
          <w:sz w:val="24"/>
        </w:rPr>
        <w:t xml:space="preserve">或</w:t>
      </w:r>
      <w:r>
        <w:rPr>
          <w:rFonts w:ascii="宋体" w:hAnsi="宋体"/>
          <w:bCs/>
          <w:sz w:val="24"/>
        </w:rPr>
        <w:t xml:space="preserve">证券发行机构未发生影响证券价格的重大事件的，以最近交易日的市价（收盘价）估值；如最近</w:t>
      </w:r>
      <w:r>
        <w:rPr>
          <w:rFonts w:ascii="宋体" w:hAnsi="宋体"/>
          <w:bCs/>
          <w:sz w:val="24"/>
        </w:rPr>
        <w:t xml:space="preserve">交易日后经济环境发生了重大变化</w:t>
      </w:r>
      <w:r>
        <w:rPr>
          <w:rFonts w:ascii="宋体" w:hAnsi="宋体"/>
          <w:bCs/>
          <w:sz w:val="24"/>
        </w:rPr>
        <w:t xml:space="preserve">或</w:t>
      </w:r>
      <w:r>
        <w:rPr>
          <w:rFonts w:ascii="宋体" w:hAnsi="宋体"/>
          <w:bCs/>
          <w:sz w:val="24"/>
        </w:rPr>
        <w:t xml:space="preserve">证券发行机构发生影响证券价格的重大事件的，可参考类似投资品种的现行市价及重大变化因素，调整最近交易市价，确定公允价格</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（2）交易所上市交易或挂牌转让的不含权固定收益品种，选取估值日第三方估值机构提供的相应品种当日的估值净价进行估值；</w:t>
      </w:r>
      <w:r/>
    </w:p>
    <w:p>
      <w:pPr>
        <w:pStyle w:val="369"/>
        <w:ind w:firstLine="480"/>
        <w:snapToGrid w:val="1"/>
        <w:spacing w:lineRule="auto" w:line="360"/>
        <w:rPr>
          <w:rFonts w:ascii="宋体" w:hAnsi="宋体"/>
          <w:bCs/>
          <w:sz w:val="24"/>
        </w:rPr>
      </w:pPr>
      <w:r>
        <w:rPr>
          <w:rFonts w:ascii="宋体" w:hAnsi="宋体"/>
          <w:bCs/>
          <w:sz w:val="24"/>
        </w:rPr>
        <w:t xml:space="preserve">（3）交易所上市交易或挂牌转让的含权固定收益品种，选取估值日第三方估值机构提供的相应品种当日的唯一估值净价或推荐估值净价进行估值；</w:t>
      </w:r>
      <w:r/>
    </w:p>
    <w:p>
      <w:pPr>
        <w:pStyle w:val="369"/>
        <w:ind w:firstLine="480"/>
        <w:snapToGrid w:val="1"/>
        <w:spacing w:lineRule="auto" w:line="360"/>
        <w:rPr>
          <w:rFonts w:ascii="宋体" w:hAnsi="宋体"/>
          <w:bCs/>
          <w:sz w:val="24"/>
        </w:rPr>
      </w:pPr>
      <w:r>
        <w:rPr>
          <w:rFonts w:ascii="宋体" w:hAnsi="宋体"/>
          <w:bCs/>
          <w:sz w:val="24"/>
        </w:rPr>
        <w:t xml:space="preserve">（4）交易所上市交易的可转换债券</w:t>
      </w:r>
      <w:r>
        <w:rPr>
          <w:rFonts w:ascii="宋体" w:hAnsi="宋体"/>
          <w:bCs/>
          <w:sz w:val="24"/>
        </w:rPr>
        <w:t xml:space="preserve">以每日收盘价作为估值全价；</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5</w:t>
      </w:r>
      <w:r>
        <w:rPr>
          <w:rFonts w:ascii="宋体" w:hAnsi="宋体"/>
          <w:bCs/>
          <w:sz w:val="24"/>
        </w:rPr>
        <w:t xml:space="preserve">）交易所上市不存在活跃市场的有价证券，采用估值技</w:t>
      </w:r>
      <w:r>
        <w:rPr>
          <w:rFonts w:ascii="宋体" w:hAnsi="宋体"/>
          <w:bCs/>
          <w:sz w:val="24"/>
        </w:rPr>
        <w:t xml:space="preserve">术确定公允价值。</w:t>
      </w:r>
      <w:r>
        <w:rPr>
          <w:rFonts w:ascii="宋体" w:hAnsi="宋体"/>
          <w:bCs/>
          <w:sz w:val="24"/>
        </w:rPr>
        <w:t xml:space="preserve">交易所市场挂牌转让</w:t>
      </w:r>
      <w:r>
        <w:rPr>
          <w:rFonts w:ascii="宋体" w:hAnsi="宋体"/>
          <w:bCs/>
          <w:sz w:val="24"/>
        </w:rPr>
        <w:t xml:space="preserve">的资产支持证券，采用估值技术确定公允价值</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bCs/>
          <w:sz w:val="24"/>
        </w:rPr>
        <w:t xml:space="preserve">市场活动</w:t>
      </w:r>
      <w:r>
        <w:rPr>
          <w:rFonts w:ascii="宋体" w:hAnsi="宋体"/>
          <w:bCs/>
          <w:sz w:val="24"/>
        </w:rPr>
        <w:t xml:space="preserve">或市场活动很少的情况下，应采用估值技术确定其公允价值。</w:t>
      </w:r>
      <w:r/>
    </w:p>
    <w:p>
      <w:pPr>
        <w:pStyle w:val="369"/>
        <w:ind w:firstLine="480"/>
        <w:snapToGrid w:val="1"/>
        <w:spacing w:lineRule="auto" w:line="360"/>
        <w:rPr>
          <w:rFonts w:ascii="宋体" w:hAnsi="宋体"/>
          <w:bCs/>
          <w:sz w:val="24"/>
        </w:rPr>
      </w:pPr>
      <w:r>
        <w:rPr>
          <w:rFonts w:ascii="宋体" w:hAnsi="宋体"/>
          <w:bCs/>
          <w:sz w:val="24"/>
        </w:rPr>
        <w:t xml:space="preserve">2、处于未上市期间的有价证券应区分如下情况处理：</w:t>
      </w:r>
      <w:r/>
    </w:p>
    <w:p>
      <w:pPr>
        <w:pStyle w:val="369"/>
        <w:ind w:firstLine="480"/>
        <w:snapToGrid w:val="1"/>
        <w:spacing w:lineRule="auto" w:line="360"/>
        <w:rPr>
          <w:rFonts w:ascii="宋体" w:hAnsi="宋体"/>
          <w:bCs/>
          <w:sz w:val="24"/>
        </w:rPr>
      </w:pPr>
      <w:r>
        <w:rPr>
          <w:rFonts w:ascii="宋体" w:hAnsi="宋体"/>
          <w:bCs/>
          <w:sz w:val="24"/>
        </w:rPr>
        <w:t xml:space="preserve">（1）送股、转增股、配股和公开增发的新股，按估值日在证券交易所挂牌的同一股票的估值方法估值；该</w:t>
      </w:r>
      <w:r>
        <w:rPr>
          <w:rFonts w:ascii="宋体" w:hAnsi="宋体"/>
          <w:bCs/>
          <w:sz w:val="24"/>
        </w:rPr>
        <w:t xml:space="preserve">日无交易的，以最近一日的市价（收盘价）估值；</w:t>
      </w:r>
      <w:r/>
    </w:p>
    <w:p>
      <w:pPr>
        <w:pStyle w:val="369"/>
        <w:ind w:firstLine="480"/>
        <w:snapToGrid w:val="1"/>
        <w:spacing w:lineRule="auto" w:line="360"/>
        <w:rPr>
          <w:rFonts w:ascii="宋体" w:hAnsi="宋体"/>
          <w:bCs/>
          <w:sz w:val="24"/>
        </w:rPr>
      </w:pPr>
      <w:r>
        <w:rPr>
          <w:rFonts w:ascii="宋体" w:hAnsi="宋体"/>
          <w:bCs/>
          <w:sz w:val="24"/>
        </w:rPr>
        <w:t xml:space="preserve">（2）首次公开发行未上市的股票</w:t>
      </w:r>
      <w:r>
        <w:rPr>
          <w:rFonts w:ascii="宋体" w:hAnsi="宋体"/>
          <w:bCs/>
          <w:sz w:val="24"/>
        </w:rPr>
        <w:t xml:space="preserve">和</w:t>
      </w:r>
      <w:r>
        <w:rPr>
          <w:rFonts w:ascii="宋体" w:hAnsi="宋体"/>
          <w:bCs/>
          <w:sz w:val="24"/>
        </w:rPr>
        <w:t xml:space="preserve">债券，采用估值技术确定公允价值，在估值技术难以可靠计量公允价值的情况下，按成本估值</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p>
    <w:p>
      <w:pPr>
        <w:pStyle w:val="369"/>
        <w:ind w:firstLine="480"/>
        <w:snapToGrid w:val="1"/>
        <w:spacing w:lineRule="auto" w:line="360"/>
        <w:rPr>
          <w:rFonts w:ascii="宋体" w:hAnsi="宋体"/>
          <w:bCs/>
          <w:sz w:val="24"/>
        </w:rPr>
      </w:pPr>
      <w:r>
        <w:rPr>
          <w:rFonts w:ascii="宋体" w:hAnsi="宋体"/>
          <w:bCs/>
          <w:sz w:val="24"/>
        </w:rPr>
        <w:t xml:space="preserve">3、对全国银行间市场上不含权的固定收益品种，按照第三方估值机构提供的相应品种当日的估值净价估值。对银</w:t>
      </w:r>
      <w:r>
        <w:rPr>
          <w:rFonts w:ascii="宋体" w:hAnsi="宋体"/>
          <w:bCs/>
          <w:sz w:val="24"/>
        </w:rPr>
        <w:t xml:space="preserve">行间市场上含权的固定收益品种，按照第三方估值机构提供的相应品种当日的唯一估值净价或推荐估值净价估值。对于含投资人回售权的固定收益品种，回售登记</w:t>
      </w:r>
      <w:r>
        <w:rPr>
          <w:rFonts w:ascii="宋体" w:hAnsi="宋体"/>
          <w:bCs/>
          <w:sz w:val="24"/>
        </w:rPr>
        <w:t xml:space="preserve">期</w:t>
      </w:r>
      <w:r>
        <w:rPr>
          <w:rFonts w:ascii="宋体" w:hAnsi="宋体"/>
          <w:bCs/>
          <w:sz w:val="24"/>
        </w:rPr>
        <w:t xml:space="preserve">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p>
    <w:p>
      <w:pPr>
        <w:pStyle w:val="369"/>
        <w:ind w:firstLine="480"/>
        <w:snapToGrid w:val="1"/>
        <w:spacing w:lineRule="auto" w:line="360"/>
        <w:rPr>
          <w:rFonts w:ascii="宋体" w:hAnsi="宋体"/>
          <w:bCs/>
          <w:sz w:val="24"/>
        </w:rPr>
      </w:pPr>
      <w:r>
        <w:rPr>
          <w:rFonts w:ascii="宋体" w:hAnsi="宋体"/>
          <w:bCs/>
          <w:sz w:val="24"/>
        </w:rPr>
        <w:t xml:space="preserve">4、同一债券或股票同时在两个或两个以上市场交易的，按债券或股票所处的市场分别估值。</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、存款的估值方法</w:t>
      </w:r>
      <w:r/>
    </w:p>
    <w:p>
      <w:pPr>
        <w:pStyle w:val="369"/>
        <w:ind w:firstLine="480"/>
        <w:snapToGrid w:val="1"/>
        <w:spacing w:lineRule="auto" w:line="360"/>
        <w:rPr>
          <w:rFonts w:ascii="宋体" w:hAnsi="宋体"/>
          <w:bCs/>
          <w:sz w:val="24"/>
        </w:rPr>
      </w:pPr>
      <w:r>
        <w:rPr>
          <w:rFonts w:ascii="宋体" w:hAnsi="宋体"/>
          <w:bCs/>
          <w:sz w:val="24"/>
        </w:rPr>
        <w:t xml:space="preserve">持有的银行定期存款或通知存款以本金列示，按</w:t>
      </w:r>
      <w:r>
        <w:rPr>
          <w:rFonts w:ascii="宋体" w:hAnsi="宋体"/>
          <w:bCs/>
          <w:sz w:val="24"/>
        </w:rPr>
        <w:t xml:space="preserve">协议或合同利率逐日确认利息收入。</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6</w:t>
      </w:r>
      <w:r>
        <w:rPr>
          <w:rFonts w:ascii="宋体" w:hAnsi="宋体"/>
          <w:bCs/>
          <w:sz w:val="24"/>
        </w:rPr>
        <w:t xml:space="preserve">、同业存单的估值方法</w:t>
      </w:r>
      <w:r>
        <w:rPr>
          <w:rFonts w:ascii="宋体" w:hAnsi="宋体"/>
          <w:bCs/>
          <w:sz w:val="24"/>
        </w:rPr>
      </w:r>
      <w:r/>
    </w:p>
    <w:p>
      <w:pPr>
        <w:pStyle w:val="369"/>
        <w:ind w:firstLine="480"/>
        <w:snapToGrid w:val="1"/>
        <w:spacing w:lineRule="auto" w:line="360"/>
        <w:rPr>
          <w:rFonts w:ascii="宋体" w:hAnsi="宋体"/>
          <w:sz w:val="24"/>
        </w:rPr>
      </w:pPr>
      <w:r>
        <w:rPr>
          <w:rFonts w:ascii="宋体" w:hAnsi="宋体"/>
          <w:bCs/>
          <w:sz w:val="24"/>
          <w:szCs w:val="24"/>
        </w:rPr>
        <w:t xml:space="preserve">同业存单按估值日第三方估值机构提供的估值净价估值；选定的第三方估值机构未提供估值价格的，按成本估值。</w:t>
      </w:r>
      <w:r>
        <w:rPr>
          <w:rFonts w:ascii="宋体" w:hAnsi="宋体"/>
          <w:sz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7、本集合计划投资国债期货合约，一般以估值当日结算价进行估值，估值当日无结算价的，且最近交易日后经济环境未发生重大变化的，采用最近交易日结算价估值。</w:t>
      </w:r>
      <w:r>
        <w:rPr>
          <w:rFonts w:ascii="宋体" w:hAnsi="宋体"/>
          <w:bCs/>
          <w:sz w:val="24"/>
          <w:szCs w:val="24"/>
        </w:rPr>
      </w:r>
      <w:r/>
    </w:p>
    <w:p>
      <w:pPr>
        <w:pStyle w:val="369"/>
        <w:ind w:firstLine="480"/>
        <w:snapToGrid w:val="1"/>
        <w:spacing w:lineRule="auto" w:line="360"/>
        <w:rPr>
          <w:rFonts w:ascii="宋体" w:hAnsi="宋体"/>
          <w:bCs/>
          <w:sz w:val="24"/>
          <w:szCs w:val="24"/>
        </w:rPr>
      </w:pPr>
      <w:r>
        <w:rPr>
          <w:rFonts w:ascii="宋体" w:hAnsi="宋体"/>
          <w:bCs/>
          <w:sz w:val="24"/>
          <w:szCs w:val="24"/>
        </w:rPr>
        <w:t xml:space="preserve">8、本集合计划投资股指期货合约，一般以估值当日结算价进行估值，估值当日无结算价的，且最近交易日后经济环境未发生重大变化的，采用最近交易日结算价估值。</w:t>
      </w:r>
      <w:r/>
    </w:p>
    <w:p>
      <w:pPr>
        <w:pStyle w:val="369"/>
        <w:ind w:firstLine="480"/>
        <w:snapToGrid w:val="1"/>
        <w:spacing w:lineRule="auto" w:line="360"/>
        <w:rPr>
          <w:rFonts w:ascii="宋体" w:hAnsi="宋体"/>
          <w:bCs/>
          <w:sz w:val="24"/>
        </w:rPr>
      </w:pPr>
      <w:r>
        <w:rPr>
          <w:rFonts w:ascii="宋体" w:hAnsi="宋体"/>
          <w:bCs/>
          <w:sz w:val="24"/>
        </w:rPr>
        <w:t xml:space="preserve">9</w:t>
      </w:r>
      <w:r>
        <w:rPr>
          <w:rFonts w:ascii="宋体" w:hAnsi="宋体"/>
          <w:bCs/>
          <w:sz w:val="24"/>
        </w:rPr>
        <w:t xml:space="preserve">、如有确凿证据表明按上述方法进行估值不能客观反映其</w:t>
      </w:r>
      <w:r>
        <w:rPr>
          <w:rFonts w:ascii="宋体" w:hAnsi="宋体"/>
          <w:bCs/>
          <w:sz w:val="24"/>
        </w:rPr>
        <w:t xml:space="preserve">公允价值的，管理人可根据具体情况与托管人商定后，按最能反映公允价值的价格估值。</w:t>
      </w:r>
      <w:r>
        <w:rPr>
          <w:rFonts w:ascii="宋体" w:hAnsi="宋体"/>
          <w:bCs/>
          <w:sz w:val="24"/>
        </w:rPr>
      </w:r>
      <w:r/>
    </w:p>
    <w:p>
      <w:pPr>
        <w:pStyle w:val="369"/>
        <w:ind w:firstLine="480"/>
        <w:snapToGrid w:val="1"/>
        <w:spacing w:lineRule="auto" w:line="360"/>
        <w:rPr>
          <w:rFonts w:ascii="宋体" w:hAnsi="宋体"/>
          <w:bCs/>
        </w:rPr>
      </w:pPr>
      <w:r>
        <w:rPr>
          <w:rFonts w:ascii="宋体" w:hAnsi="宋体"/>
          <w:bCs/>
          <w:sz w:val="24"/>
        </w:rPr>
        <w:t xml:space="preserve">10、当发生大额申购或赎回情形时，管理人可以采用摆动定价机制，以确保</w:t>
      </w:r>
      <w:r>
        <w:rPr>
          <w:rFonts w:ascii="宋体" w:hAnsi="宋体"/>
          <w:bCs/>
          <w:sz w:val="24"/>
        </w:rPr>
        <w:t xml:space="preserve">集合计划</w:t>
      </w:r>
      <w:r>
        <w:rPr>
          <w:rFonts w:ascii="宋体" w:hAnsi="宋体"/>
          <w:bCs/>
          <w:sz w:val="24"/>
        </w:rPr>
        <w:t xml:space="preserve">估值的公平性。</w:t>
      </w:r>
      <w:r>
        <w:rPr>
          <w:rFonts w:ascii="宋体" w:hAnsi="宋体"/>
          <w:bCs/>
        </w:rPr>
      </w:r>
      <w:r/>
    </w:p>
    <w:p>
      <w:pPr>
        <w:pStyle w:val="369"/>
        <w:ind w:firstLine="480"/>
        <w:snapToGrid w:val="1"/>
        <w:spacing w:lineRule="auto" w:line="360"/>
        <w:rPr>
          <w:rFonts w:ascii="宋体" w:hAnsi="宋体"/>
          <w:bCs/>
          <w:sz w:val="24"/>
        </w:rPr>
      </w:pPr>
      <w:r>
        <w:rPr>
          <w:rFonts w:ascii="宋体" w:hAnsi="宋体"/>
          <w:bCs/>
          <w:sz w:val="24"/>
        </w:rPr>
        <w:t xml:space="preserve">相关法律法规以及监管部门有强制规定的，从其规定。如有新增事项，按国家最新规定估值。</w:t>
      </w:r>
      <w:r/>
    </w:p>
    <w:p>
      <w:pPr>
        <w:pStyle w:val="369"/>
        <w:ind w:firstLine="480"/>
        <w:snapToGrid w:val="1"/>
        <w:spacing w:lineRule="auto" w:line="360"/>
        <w:rPr>
          <w:rStyle w:val="389"/>
          <w:rFonts w:ascii="宋体" w:hAnsi="宋体"/>
          <w:bCs/>
          <w:sz w:val="24"/>
        </w:rPr>
      </w:pPr>
      <w:r>
        <w:rPr>
          <w:rStyle w:val="389"/>
          <w:rFonts w:ascii="宋体" w:hAnsi="宋体"/>
          <w:bCs/>
          <w:sz w:val="24"/>
        </w:rPr>
        <w:t xml:space="preserve">如管理人或托管人发现</w:t>
      </w:r>
      <w:r>
        <w:rPr>
          <w:rFonts w:ascii="宋体" w:hAnsi="宋体"/>
          <w:bCs/>
          <w:sz w:val="24"/>
        </w:rPr>
        <w:t xml:space="preserve">集合计划</w:t>
      </w:r>
      <w:r>
        <w:rPr>
          <w:rStyle w:val="389"/>
          <w:rFonts w:ascii="宋体" w:hAnsi="宋体"/>
          <w:bCs/>
          <w:sz w:val="24"/>
        </w:rPr>
        <w:t xml:space="preserve">估值违反集合计划合同订明的估值方法、程序及相关法律法规的规定或者未能充分维护</w:t>
      </w:r>
      <w:r>
        <w:rPr>
          <w:rFonts w:ascii="宋体" w:hAnsi="宋体"/>
          <w:bCs/>
          <w:sz w:val="24"/>
        </w:rPr>
        <w:t xml:space="preserve">集合计划</w:t>
      </w:r>
      <w:r>
        <w:rPr>
          <w:rStyle w:val="389"/>
          <w:rFonts w:ascii="宋体" w:hAnsi="宋体"/>
          <w:bCs/>
          <w:sz w:val="24"/>
        </w:rPr>
        <w:t xml:space="preserve">份额持有人利益时，应立即通知对方，共同查明原因，双方协商解决。</w:t>
      </w:r>
      <w:r/>
    </w:p>
    <w:p>
      <w:pPr>
        <w:pStyle w:val="369"/>
        <w:ind w:firstLine="480"/>
        <w:snapToGrid w:val="1"/>
        <w:spacing w:lineRule="auto" w:line="360"/>
        <w:rPr>
          <w:rFonts w:ascii="宋体" w:hAnsi="宋体"/>
          <w:bCs/>
          <w:sz w:val="24"/>
        </w:rPr>
      </w:pPr>
      <w:r>
        <w:rPr>
          <w:rFonts w:ascii="宋体" w:hAnsi="宋体"/>
          <w:bCs/>
          <w:sz w:val="24"/>
        </w:rPr>
        <w:t xml:space="preserve">根据有关法律法规，集合计划资产净值计算和</w:t>
      </w:r>
      <w:r>
        <w:rPr>
          <w:rFonts w:ascii="宋体" w:hAnsi="宋体"/>
          <w:bCs/>
          <w:sz w:val="24"/>
        </w:rPr>
        <w:t xml:space="preserve">集合计划</w:t>
      </w:r>
      <w:r>
        <w:rPr>
          <w:rFonts w:ascii="宋体" w:hAnsi="宋体"/>
          <w:bCs/>
          <w:sz w:val="24"/>
        </w:rPr>
        <w:t xml:space="preserve">会计核算的义务由管理人承担。本集</w:t>
      </w:r>
      <w:r>
        <w:rPr>
          <w:rFonts w:ascii="宋体" w:hAnsi="宋体"/>
          <w:bCs/>
          <w:sz w:val="24"/>
        </w:rPr>
        <w:t xml:space="preserve">合计划的</w:t>
      </w:r>
      <w:r>
        <w:rPr>
          <w:rFonts w:ascii="宋体" w:hAnsi="宋体"/>
          <w:bCs/>
          <w:sz w:val="24"/>
        </w:rPr>
        <w:t xml:space="preserve">集合计划</w:t>
      </w:r>
      <w:r>
        <w:rPr>
          <w:rFonts w:ascii="宋体" w:hAnsi="宋体"/>
          <w:bCs/>
          <w:sz w:val="24"/>
        </w:rPr>
        <w:t xml:space="preserve">会计责任方由管理人担任，因此，就与本集合计划有关的会计问题，如经相关各方在平等基础上充分讨论后，仍无法达成一致的意见，按照管理人对集合计划净值</w:t>
      </w:r>
      <w:r>
        <w:rPr>
          <w:rFonts w:ascii="宋体" w:hAnsi="宋体"/>
          <w:bCs/>
          <w:sz w:val="24"/>
        </w:rPr>
        <w:t xml:space="preserve">信息</w:t>
      </w:r>
      <w:r>
        <w:rPr>
          <w:rFonts w:ascii="宋体" w:hAnsi="宋体"/>
          <w:bCs/>
          <w:sz w:val="24"/>
        </w:rPr>
        <w:t xml:space="preserve">的计算结果对外予以公布</w:t>
      </w:r>
      <w:r>
        <w:rPr>
          <w:rFonts w:ascii="宋体" w:hAnsi="宋体"/>
          <w:bCs/>
          <w:sz w:val="24"/>
        </w:rPr>
        <w:t xml:space="preserve">，由此给集合计划份额持有人和集合计划造成的损失以及因该交易日集合计划资产净值计算顺延错误而引起的损失，由管理人负责赔付</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sz w:val="24"/>
        </w:rPr>
        <w:t xml:space="preserve">（二）</w:t>
      </w:r>
      <w:r>
        <w:rPr>
          <w:rFonts w:ascii="宋体" w:hAnsi="宋体"/>
          <w:bCs/>
          <w:sz w:val="24"/>
        </w:rPr>
        <w:t xml:space="preserve">公告方式</w:t>
      </w:r>
      <w:r/>
    </w:p>
    <w:p>
      <w:pPr>
        <w:pStyle w:val="369"/>
        <w:ind w:firstLine="480"/>
        <w:snapToGrid w:val="1"/>
        <w:spacing w:lineRule="auto" w:line="360"/>
        <w:rPr>
          <w:rFonts w:ascii="宋体" w:hAnsi="宋体"/>
          <w:sz w:val="24"/>
        </w:rPr>
      </w:pPr>
      <w:r>
        <w:rPr>
          <w:rFonts w:ascii="宋体" w:hAnsi="宋体"/>
          <w:sz w:val="24"/>
        </w:rPr>
        <w:t xml:space="preserve">《集合计划合同》生效后，</w:t>
      </w:r>
      <w:r>
        <w:rPr>
          <w:rFonts w:ascii="宋体" w:hAnsi="宋体"/>
          <w:bCs/>
          <w:sz w:val="24"/>
        </w:rPr>
        <w:t xml:space="preserve">在开始办理</w:t>
      </w:r>
      <w:r>
        <w:rPr>
          <w:rFonts w:ascii="宋体" w:hAnsi="宋体"/>
          <w:bCs/>
          <w:sz w:val="24"/>
        </w:rPr>
        <w:t xml:space="preserve">集合计划</w:t>
      </w:r>
      <w:r>
        <w:rPr>
          <w:rFonts w:ascii="宋体" w:hAnsi="宋体"/>
          <w:bCs/>
          <w:sz w:val="24"/>
        </w:rPr>
        <w:t xml:space="preserve">份额申购或赎回前，</w:t>
      </w:r>
      <w:r>
        <w:rPr>
          <w:rFonts w:ascii="宋体" w:hAnsi="宋体"/>
          <w:sz w:val="24"/>
        </w:rPr>
        <w:t xml:space="preserve">管理人应当至少每周</w:t>
      </w:r>
      <w:r>
        <w:rPr>
          <w:rFonts w:ascii="宋体" w:hAnsi="宋体"/>
          <w:sz w:val="24"/>
        </w:rPr>
        <w:t xml:space="preserve">在规定网站披露</w:t>
      </w:r>
      <w:r>
        <w:rPr>
          <w:rFonts w:ascii="宋体" w:hAnsi="宋体"/>
          <w:sz w:val="24"/>
        </w:rPr>
        <w:t xml:space="preserve">一次集合计划</w:t>
      </w:r>
      <w:r>
        <w:rPr>
          <w:rFonts w:ascii="宋体" w:hAnsi="宋体"/>
          <w:sz w:val="24"/>
        </w:rPr>
        <w:t xml:space="preserve">份额</w:t>
      </w:r>
      <w:r>
        <w:rPr>
          <w:rFonts w:ascii="宋体" w:hAnsi="宋体"/>
          <w:sz w:val="24"/>
        </w:rPr>
        <w:t xml:space="preserve">净值和集合计划份额</w:t>
      </w:r>
      <w:r>
        <w:rPr>
          <w:rFonts w:ascii="宋体" w:hAnsi="宋体"/>
          <w:sz w:val="24"/>
        </w:rPr>
        <w:t xml:space="preserve">累计</w:t>
      </w:r>
      <w:r>
        <w:rPr>
          <w:rFonts w:ascii="宋体" w:hAnsi="宋体"/>
          <w:sz w:val="24"/>
        </w:rPr>
        <w:t xml:space="preserve">净值。</w:t>
      </w:r>
      <w:r/>
    </w:p>
    <w:p>
      <w:pPr>
        <w:pStyle w:val="369"/>
        <w:ind w:firstLine="480"/>
        <w:snapToGrid w:val="1"/>
        <w:spacing w:lineRule="auto" w:line="360"/>
        <w:rPr>
          <w:rFonts w:ascii="宋体" w:hAnsi="宋体"/>
          <w:bCs/>
          <w:sz w:val="24"/>
        </w:rPr>
      </w:pPr>
      <w:r>
        <w:rPr>
          <w:rFonts w:ascii="宋体" w:hAnsi="宋体"/>
          <w:bCs/>
          <w:sz w:val="24"/>
        </w:rPr>
        <w:t xml:space="preserve">在开始办理</w:t>
      </w:r>
      <w:r>
        <w:rPr>
          <w:rFonts w:ascii="宋体" w:hAnsi="宋体"/>
          <w:bCs/>
          <w:sz w:val="24"/>
        </w:rPr>
        <w:t xml:space="preserve">集合计划</w:t>
      </w:r>
      <w:r>
        <w:rPr>
          <w:rFonts w:ascii="宋体" w:hAnsi="宋体"/>
          <w:bCs/>
          <w:sz w:val="24"/>
        </w:rPr>
        <w:t xml:space="preserve">份额申购或者赎回</w:t>
      </w:r>
      <w:r>
        <w:rPr>
          <w:rFonts w:ascii="宋体" w:hAnsi="宋体"/>
          <w:bCs/>
          <w:sz w:val="24"/>
        </w:rPr>
        <w:t xml:space="preserve">后</w:t>
      </w:r>
      <w:r>
        <w:rPr>
          <w:rFonts w:ascii="宋体" w:hAnsi="宋体"/>
          <w:bCs/>
          <w:sz w:val="24"/>
        </w:rPr>
        <w:t xml:space="preserve">，管理人应当在不</w:t>
      </w:r>
      <w:r>
        <w:rPr>
          <w:rFonts w:ascii="宋体" w:hAnsi="宋体"/>
          <w:bCs/>
          <w:sz w:val="24"/>
        </w:rPr>
        <w:t xml:space="preserve">晚于每个开放日的次日，通过</w:t>
      </w:r>
      <w:r>
        <w:rPr>
          <w:rFonts w:ascii="宋体" w:hAnsi="宋体"/>
          <w:bCs/>
          <w:sz w:val="24"/>
        </w:rPr>
        <w:t xml:space="preserve">规定</w:t>
      </w:r>
      <w:r>
        <w:rPr>
          <w:rFonts w:ascii="宋体" w:hAnsi="宋体"/>
          <w:bCs/>
          <w:sz w:val="24"/>
        </w:rPr>
        <w:t xml:space="preserve">网站、</w:t>
      </w:r>
      <w:r>
        <w:rPr>
          <w:rFonts w:ascii="宋体" w:hAnsi="宋体"/>
          <w:bCs/>
          <w:sz w:val="24"/>
        </w:rPr>
        <w:t xml:space="preserve">集合计划销售机构网站或营业</w:t>
      </w:r>
      <w:r>
        <w:rPr>
          <w:rFonts w:ascii="宋体" w:hAnsi="宋体"/>
          <w:bCs/>
          <w:sz w:val="24"/>
        </w:rPr>
        <w:t xml:space="preserve">网点披露开放日的集合计划份额净值和</w:t>
      </w:r>
      <w:r>
        <w:rPr>
          <w:rFonts w:ascii="宋体" w:hAnsi="宋体"/>
          <w:bCs/>
          <w:sz w:val="24"/>
        </w:rPr>
        <w:t xml:space="preserve">集合计划</w:t>
      </w:r>
      <w:r>
        <w:rPr>
          <w:rFonts w:ascii="宋体" w:hAnsi="宋体"/>
          <w:bCs/>
          <w:sz w:val="24"/>
        </w:rPr>
        <w:t xml:space="preserve">份额累计净值。</w:t>
      </w:r>
      <w:r/>
    </w:p>
    <w:p>
      <w:pPr>
        <w:pStyle w:val="369"/>
        <w:ind w:firstLine="480"/>
        <w:snapToGrid w:val="1"/>
        <w:spacing w:lineRule="auto" w:line="360"/>
        <w:rPr>
          <w:rFonts w:ascii="宋体" w:hAnsi="宋体"/>
          <w:sz w:val="24"/>
        </w:rPr>
      </w:pPr>
      <w:r>
        <w:rPr>
          <w:rFonts w:ascii="宋体" w:hAnsi="宋体"/>
          <w:sz w:val="24"/>
        </w:rPr>
        <w:t xml:space="preserve">管理人应当</w:t>
      </w:r>
      <w:r>
        <w:rPr>
          <w:rFonts w:ascii="宋体" w:hAnsi="宋体"/>
          <w:sz w:val="24"/>
        </w:rPr>
        <w:t xml:space="preserve">在不晚于半年度和年度最后一日的次日，在规定网站披露半年度和年度最后一日的集合</w:t>
      </w:r>
      <w:r>
        <w:rPr>
          <w:rFonts w:ascii="宋体" w:hAnsi="宋体"/>
          <w:sz w:val="24"/>
        </w:rPr>
        <w:t xml:space="preserve">计划</w:t>
      </w:r>
      <w:r>
        <w:rPr>
          <w:rFonts w:ascii="宋体" w:hAnsi="宋体"/>
          <w:sz w:val="24"/>
        </w:rPr>
        <w:t xml:space="preserve">份额净值和集合计划份额累计净值</w:t>
      </w:r>
      <w:r>
        <w:rPr>
          <w:rFonts w:ascii="宋体" w:hAnsi="宋体"/>
          <w:sz w:val="24"/>
        </w:rPr>
        <w:t xml:space="preserve">。</w:t>
      </w:r>
      <w:r/>
    </w:p>
    <w:p>
      <w:pPr>
        <w:pStyle w:val="369"/>
        <w:ind w:firstLine="480"/>
        <w:snapToGrid w:val="1"/>
        <w:spacing w:lineRule="auto" w:line="360"/>
        <w:rPr>
          <w:rFonts w:ascii="宋体" w:hAnsi="宋体"/>
          <w:sz w:val="24"/>
        </w:rPr>
      </w:pPr>
      <w:r>
        <w:rPr>
          <w:rFonts w:ascii="宋体" w:hAnsi="宋体"/>
          <w:sz w:val="24"/>
        </w:rPr>
        <w:t xml:space="preserve">遇特殊情况，经履行适当程序，可以适当延迟计算或公告。</w:t>
      </w:r>
      <w:r>
        <w:rPr>
          <w:rFonts w:ascii="宋体" w:hAnsi="宋体"/>
          <w:sz w:val="24"/>
        </w:rPr>
      </w:r>
      <w:r/>
    </w:p>
    <w:p>
      <w:pPr>
        <w:pStyle w:val="369"/>
        <w:ind w:firstLine="480"/>
        <w:snapToGrid w:val="1"/>
        <w:spacing w:lineRule="auto" w:line="360"/>
        <w:rPr>
          <w:rFonts w:ascii="宋体" w:hAnsi="宋体"/>
          <w:bCs/>
          <w:sz w:val="24"/>
        </w:rPr>
      </w:pPr>
      <w:r>
        <w:rPr>
          <w:rFonts w:ascii="宋体" w:hAnsi="宋体"/>
          <w:bCs/>
          <w:sz w:val="24"/>
        </w:rPr>
        <w:t xml:space="preserve">七、《集合计划合同》的变更、终止与集合计划财产的清算</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一</w:t>
      </w:r>
      <w:r>
        <w:rPr>
          <w:rFonts w:ascii="宋体" w:hAnsi="宋体"/>
          <w:bCs/>
          <w:sz w:val="24"/>
        </w:rPr>
        <w:t xml:space="preserve">）《集合计划合同》的变更</w:t>
      </w:r>
      <w:r/>
    </w:p>
    <w:p>
      <w:pPr>
        <w:pStyle w:val="369"/>
        <w:ind w:firstLine="480"/>
        <w:jc w:val="left"/>
        <w:snapToGrid w:val="1"/>
        <w:spacing w:lineRule="auto" w:line="360"/>
        <w:rPr>
          <w:rFonts w:ascii="宋体" w:hAnsi="宋体"/>
          <w:bCs/>
          <w:sz w:val="24"/>
        </w:rPr>
      </w:pPr>
      <w:r>
        <w:rPr>
          <w:rFonts w:ascii="宋体" w:hAnsi="宋体"/>
          <w:bCs/>
          <w:sz w:val="24"/>
        </w:rPr>
        <w:t xml:space="preserve">1、变更集合计划合同</w:t>
      </w:r>
      <w:r>
        <w:rPr>
          <w:rFonts w:ascii="宋体" w:hAnsi="宋体"/>
          <w:bCs/>
          <w:sz w:val="24"/>
        </w:rPr>
        <w:t xml:space="preserve">涉及</w:t>
      </w:r>
      <w:r>
        <w:rPr>
          <w:rFonts w:ascii="宋体" w:hAnsi="宋体"/>
          <w:bCs/>
          <w:sz w:val="24"/>
        </w:rPr>
        <w:t xml:space="preserve">法律法规规定或本合同约定应经集合计划份额持有人大会决议通过的事项的，应召开集合计划份额持有人大会决议通过。</w:t>
      </w:r>
      <w:r>
        <w:rPr>
          <w:rFonts w:ascii="宋体" w:hAnsi="宋体"/>
          <w:bCs/>
          <w:sz w:val="24"/>
        </w:rPr>
        <w:t xml:space="preserve">对于法律法规规定和集合计划合同约定可不经集合计划份额持有人大会决议通过的事项，由管理人和托管人同意后变更并公告，并报中国证监会备案。</w:t>
      </w:r>
      <w:r/>
    </w:p>
    <w:p>
      <w:pPr>
        <w:pStyle w:val="369"/>
        <w:ind w:firstLine="480"/>
        <w:snapToGrid w:val="1"/>
        <w:spacing w:lineRule="auto" w:line="360"/>
        <w:rPr>
          <w:rFonts w:ascii="宋体" w:hAnsi="宋体"/>
          <w:bCs/>
          <w:sz w:val="24"/>
        </w:rPr>
      </w:pPr>
      <w:r>
        <w:rPr>
          <w:rFonts w:ascii="宋体" w:hAnsi="宋体"/>
          <w:bCs/>
          <w:sz w:val="24"/>
        </w:rPr>
        <w:t xml:space="preserve">2、关于《集合计划合同》变更的集合计划份额持有人大会决议</w:t>
      </w:r>
      <w:r>
        <w:rPr>
          <w:rFonts w:ascii="宋体" w:hAnsi="宋体"/>
          <w:bCs/>
          <w:sz w:val="24"/>
        </w:rPr>
        <w:t xml:space="preserve">自</w:t>
      </w:r>
      <w:r>
        <w:rPr>
          <w:rFonts w:ascii="宋体" w:hAnsi="宋体"/>
          <w:bCs/>
          <w:sz w:val="24"/>
        </w:rPr>
        <w:t xml:space="preserve">生效后方可执行，自决议生效后两日内在规定媒介公告。</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二</w:t>
      </w:r>
      <w:r>
        <w:rPr>
          <w:rFonts w:ascii="宋体" w:hAnsi="宋体"/>
          <w:bCs/>
          <w:sz w:val="24"/>
        </w:rPr>
        <w:t xml:space="preserve">）《集合计划合同》的终止事由</w:t>
      </w:r>
      <w:r/>
    </w:p>
    <w:p>
      <w:pPr>
        <w:pStyle w:val="369"/>
        <w:ind w:firstLine="480"/>
        <w:snapToGrid w:val="1"/>
        <w:spacing w:lineRule="auto" w:line="360"/>
        <w:rPr>
          <w:rFonts w:ascii="宋体" w:hAnsi="宋体"/>
          <w:bCs/>
          <w:sz w:val="24"/>
        </w:rPr>
      </w:pPr>
      <w:r>
        <w:rPr>
          <w:rFonts w:ascii="宋体" w:hAnsi="宋体"/>
          <w:bCs/>
          <w:sz w:val="24"/>
        </w:rPr>
        <w:t xml:space="preserve">有下列情形之一的，</w:t>
      </w:r>
      <w:r>
        <w:rPr>
          <w:rFonts w:ascii="宋体" w:hAnsi="宋体"/>
          <w:bCs/>
          <w:sz w:val="24"/>
        </w:rPr>
        <w:t xml:space="preserve">经履行相关程序后，</w:t>
      </w:r>
      <w:r>
        <w:rPr>
          <w:rFonts w:ascii="宋体" w:hAnsi="宋体"/>
          <w:bCs/>
          <w:sz w:val="24"/>
        </w:rPr>
        <w:t xml:space="preserve">《集合计划合同》应当终止：</w:t>
      </w:r>
      <w:r/>
    </w:p>
    <w:p>
      <w:pPr>
        <w:pStyle w:val="369"/>
        <w:ind w:firstLine="480"/>
        <w:snapToGrid w:val="1"/>
        <w:spacing w:lineRule="auto" w:line="360"/>
        <w:rPr>
          <w:rFonts w:ascii="宋体" w:hAnsi="宋体"/>
          <w:bCs/>
          <w:sz w:val="24"/>
        </w:rPr>
      </w:pPr>
      <w:r>
        <w:rPr>
          <w:rFonts w:ascii="宋体" w:hAnsi="宋体"/>
          <w:bCs/>
          <w:sz w:val="24"/>
        </w:rPr>
        <w:t xml:space="preserve">1、集合计划份额持有人大会决定终止的；</w:t>
      </w:r>
      <w:r/>
    </w:p>
    <w:p>
      <w:pPr>
        <w:pStyle w:val="369"/>
        <w:ind w:firstLine="480"/>
        <w:snapToGrid w:val="1"/>
        <w:spacing w:lineRule="auto" w:line="360"/>
        <w:rPr>
          <w:rFonts w:ascii="宋体" w:hAnsi="宋体"/>
          <w:bCs/>
          <w:sz w:val="24"/>
        </w:rPr>
      </w:pPr>
      <w:r>
        <w:rPr>
          <w:rFonts w:ascii="宋体" w:hAnsi="宋体"/>
          <w:bCs/>
          <w:sz w:val="24"/>
        </w:rPr>
        <w:t xml:space="preserve">2、管理人、托管人职责终止，在6个月内没有新管理人、新托管人承接的；</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、《集合计划合同》约定的其他情形；</w:t>
      </w:r>
      <w:r/>
    </w:p>
    <w:p>
      <w:pPr>
        <w:pStyle w:val="369"/>
        <w:ind w:firstLine="480"/>
        <w:snapToGrid w:val="1"/>
        <w:spacing w:lineRule="auto" w:line="360"/>
        <w:rPr>
          <w:rFonts w:ascii="宋体" w:hAnsi="宋体"/>
          <w:bCs/>
          <w:sz w:val="24"/>
        </w:rPr>
      </w:pPr>
      <w:r>
        <w:rPr>
          <w:rFonts w:ascii="宋体" w:hAnsi="宋体"/>
          <w:bCs/>
          <w:sz w:val="24"/>
        </w:rPr>
        <w:t xml:space="preserve">4、相关法律法规和中国</w:t>
      </w:r>
      <w:r>
        <w:rPr>
          <w:rFonts w:ascii="宋体" w:hAnsi="宋体"/>
          <w:bCs/>
          <w:sz w:val="24"/>
        </w:rPr>
        <w:t xml:space="preserve">证监会规定的其他情况。</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三</w:t>
      </w:r>
      <w:r>
        <w:rPr>
          <w:rFonts w:ascii="宋体" w:hAnsi="宋体"/>
          <w:bCs/>
          <w:sz w:val="24"/>
        </w:rPr>
        <w:t xml:space="preserve">）</w:t>
      </w:r>
      <w:r>
        <w:rPr>
          <w:rFonts w:ascii="宋体" w:hAnsi="宋体"/>
          <w:bCs/>
          <w:sz w:val="24"/>
        </w:rPr>
        <w:t xml:space="preserve">集合计划</w:t>
      </w:r>
      <w:r>
        <w:rPr>
          <w:rFonts w:ascii="宋体" w:hAnsi="宋体"/>
          <w:bCs/>
          <w:sz w:val="24"/>
        </w:rPr>
        <w:t xml:space="preserve">财产的清算</w:t>
      </w:r>
      <w:r/>
    </w:p>
    <w:p>
      <w:pPr>
        <w:pStyle w:val="369"/>
        <w:ind w:firstLine="480"/>
        <w:snapToGrid w:val="1"/>
        <w:spacing w:lineRule="auto" w:line="360"/>
        <w:rPr>
          <w:rFonts w:ascii="宋体" w:hAnsi="宋体"/>
          <w:bCs/>
          <w:sz w:val="24"/>
        </w:rPr>
      </w:pPr>
      <w:r>
        <w:rPr>
          <w:rFonts w:ascii="宋体" w:hAnsi="宋体"/>
          <w:bCs/>
          <w:sz w:val="24"/>
        </w:rPr>
        <w:t xml:space="preserve">1、</w:t>
      </w:r>
      <w:r>
        <w:rPr>
          <w:rFonts w:ascii="宋体" w:hAnsi="宋体"/>
          <w:bCs/>
          <w:sz w:val="24"/>
        </w:rPr>
        <w:t xml:space="preserve">集合计划</w:t>
      </w:r>
      <w:r>
        <w:rPr>
          <w:rFonts w:ascii="宋体" w:hAnsi="宋体"/>
          <w:bCs/>
          <w:sz w:val="24"/>
        </w:rPr>
        <w:t xml:space="preserve">财产清算小组：自出现《集合计划合同》终止事由之日起30个工作日内成立清算小组，管理人组织</w:t>
      </w:r>
      <w:r>
        <w:rPr>
          <w:rFonts w:ascii="宋体" w:hAnsi="宋体"/>
          <w:bCs/>
          <w:sz w:val="24"/>
        </w:rPr>
        <w:t xml:space="preserve">集合计划</w:t>
      </w:r>
      <w:r>
        <w:rPr>
          <w:rFonts w:ascii="宋体" w:hAnsi="宋体"/>
          <w:bCs/>
          <w:sz w:val="24"/>
        </w:rPr>
        <w:t xml:space="preserve">财产清算小组并在中国证监会的监督下进行</w:t>
      </w:r>
      <w:r>
        <w:rPr>
          <w:rFonts w:ascii="宋体" w:hAnsi="宋体"/>
          <w:bCs/>
          <w:sz w:val="24"/>
        </w:rPr>
        <w:t xml:space="preserve">集合计划</w:t>
      </w:r>
      <w:r>
        <w:rPr>
          <w:rFonts w:ascii="宋体" w:hAnsi="宋体"/>
          <w:bCs/>
          <w:sz w:val="24"/>
        </w:rPr>
        <w:t xml:space="preserve">清算。</w:t>
      </w:r>
      <w:r/>
    </w:p>
    <w:p>
      <w:pPr>
        <w:pStyle w:val="369"/>
        <w:ind w:firstLine="480"/>
        <w:snapToGrid w:val="1"/>
        <w:spacing w:lineRule="auto" w:line="360"/>
        <w:rPr>
          <w:rFonts w:ascii="宋体" w:hAnsi="宋体"/>
          <w:bCs/>
          <w:sz w:val="24"/>
        </w:rPr>
      </w:pPr>
      <w:r>
        <w:rPr>
          <w:rFonts w:ascii="宋体" w:hAnsi="宋体"/>
          <w:bCs/>
          <w:sz w:val="24"/>
        </w:rPr>
        <w:t xml:space="preserve">2、</w:t>
      </w:r>
      <w:r>
        <w:rPr>
          <w:rFonts w:ascii="宋体" w:hAnsi="宋体"/>
          <w:bCs/>
          <w:sz w:val="24"/>
        </w:rPr>
        <w:t xml:space="preserve">集合计划</w:t>
      </w:r>
      <w:r>
        <w:rPr>
          <w:rFonts w:ascii="宋体" w:hAnsi="宋体"/>
          <w:bCs/>
          <w:sz w:val="24"/>
        </w:rPr>
        <w:t xml:space="preserve">财产清算小组组成：</w:t>
      </w:r>
      <w:r>
        <w:rPr>
          <w:rFonts w:ascii="宋体" w:hAnsi="宋体"/>
          <w:bCs/>
          <w:sz w:val="24"/>
        </w:rPr>
        <w:t xml:space="preserve">集合计划</w:t>
      </w:r>
      <w:r>
        <w:rPr>
          <w:rFonts w:ascii="宋体" w:hAnsi="宋体"/>
          <w:bCs/>
          <w:sz w:val="24"/>
        </w:rPr>
        <w:t xml:space="preserve">财产清算小组成员由管理人、托管人、</w:t>
      </w:r>
      <w:r>
        <w:rPr>
          <w:rFonts w:ascii="宋体" w:hAnsi="宋体"/>
          <w:bCs/>
          <w:sz w:val="24"/>
        </w:rPr>
        <w:t xml:space="preserve">符合《中华人民共和国证券法》规定</w:t>
      </w:r>
      <w:r>
        <w:rPr>
          <w:rFonts w:ascii="宋体" w:hAnsi="宋体"/>
          <w:bCs/>
          <w:sz w:val="24"/>
        </w:rPr>
        <w:t xml:space="preserve">的注册会计师、律师以及中国证监会指定的人员组成。</w:t>
      </w:r>
      <w:r>
        <w:rPr>
          <w:rFonts w:ascii="宋体" w:hAnsi="宋体"/>
          <w:bCs/>
          <w:sz w:val="24"/>
        </w:rPr>
        <w:t xml:space="preserve">集合计划</w:t>
      </w:r>
      <w:r>
        <w:rPr>
          <w:rFonts w:ascii="宋体" w:hAnsi="宋体"/>
          <w:bCs/>
          <w:sz w:val="24"/>
        </w:rPr>
        <w:t xml:space="preserve">财产清算小组可以聘用必要的工作人员。</w:t>
      </w:r>
      <w:r/>
    </w:p>
    <w:p>
      <w:pPr>
        <w:pStyle w:val="369"/>
        <w:ind w:firstLine="480"/>
        <w:snapToGrid w:val="1"/>
        <w:spacing w:lineRule="auto" w:line="360"/>
        <w:rPr>
          <w:rFonts w:ascii="宋体" w:hAnsi="宋体"/>
          <w:bCs/>
          <w:sz w:val="24"/>
        </w:rPr>
      </w:pPr>
      <w:r>
        <w:rPr>
          <w:rFonts w:ascii="宋体" w:hAnsi="宋体"/>
          <w:bCs/>
          <w:sz w:val="24"/>
        </w:rPr>
        <w:t xml:space="preserve">3、</w:t>
      </w:r>
      <w:r>
        <w:rPr>
          <w:rFonts w:ascii="宋体" w:hAnsi="宋体"/>
          <w:bCs/>
          <w:sz w:val="24"/>
        </w:rPr>
        <w:t xml:space="preserve">集合计划</w:t>
      </w:r>
      <w:r>
        <w:rPr>
          <w:rFonts w:ascii="宋体" w:hAnsi="宋体"/>
          <w:bCs/>
          <w:sz w:val="24"/>
        </w:rPr>
        <w:t xml:space="preserve">财产清算小组职责：</w:t>
      </w:r>
      <w:r>
        <w:rPr>
          <w:rFonts w:ascii="宋体" w:hAnsi="宋体"/>
          <w:bCs/>
          <w:sz w:val="24"/>
        </w:rPr>
        <w:t xml:space="preserve">集合计划</w:t>
      </w:r>
      <w:r>
        <w:rPr>
          <w:rFonts w:ascii="宋体" w:hAnsi="宋体"/>
          <w:bCs/>
          <w:sz w:val="24"/>
        </w:rPr>
        <w:t xml:space="preserve">财产清算小组负责</w:t>
      </w:r>
      <w:r>
        <w:rPr>
          <w:rFonts w:ascii="宋体" w:hAnsi="宋体"/>
          <w:bCs/>
          <w:sz w:val="24"/>
        </w:rPr>
        <w:t xml:space="preserve">集合计划</w:t>
      </w:r>
      <w:r>
        <w:rPr>
          <w:rFonts w:ascii="宋体" w:hAnsi="宋体"/>
          <w:bCs/>
          <w:sz w:val="24"/>
        </w:rPr>
        <w:t xml:space="preserve">财产的保管、清理、估价、变现和分配。</w:t>
      </w:r>
      <w:r>
        <w:rPr>
          <w:rFonts w:ascii="宋体" w:hAnsi="宋体"/>
          <w:bCs/>
          <w:sz w:val="24"/>
        </w:rPr>
        <w:t xml:space="preserve">集合</w:t>
      </w:r>
      <w:r>
        <w:rPr>
          <w:rFonts w:ascii="宋体" w:hAnsi="宋体"/>
          <w:bCs/>
          <w:sz w:val="24"/>
        </w:rPr>
        <w:t xml:space="preserve">计划</w:t>
      </w:r>
      <w:r>
        <w:rPr>
          <w:rFonts w:ascii="宋体" w:hAnsi="宋体"/>
          <w:bCs/>
          <w:sz w:val="24"/>
        </w:rPr>
        <w:t xml:space="preserve">财产清算小组可以依法进行必要的民事活动。</w:t>
      </w:r>
      <w:r/>
    </w:p>
    <w:p>
      <w:pPr>
        <w:pStyle w:val="369"/>
        <w:ind w:firstLine="480"/>
        <w:snapToGrid w:val="1"/>
        <w:spacing w:lineRule="auto" w:line="360"/>
        <w:rPr>
          <w:rFonts w:ascii="宋体" w:hAnsi="宋体"/>
          <w:bCs/>
          <w:sz w:val="24"/>
        </w:rPr>
      </w:pPr>
      <w:r>
        <w:rPr>
          <w:rFonts w:ascii="宋体" w:hAnsi="宋体"/>
          <w:bCs/>
          <w:sz w:val="24"/>
        </w:rPr>
        <w:t xml:space="preserve">4、</w:t>
      </w:r>
      <w:r>
        <w:rPr>
          <w:rFonts w:ascii="宋体" w:hAnsi="宋体"/>
          <w:bCs/>
          <w:sz w:val="24"/>
        </w:rPr>
        <w:t xml:space="preserve">集合计划</w:t>
      </w:r>
      <w:r>
        <w:rPr>
          <w:rFonts w:ascii="宋体" w:hAnsi="宋体"/>
          <w:bCs/>
          <w:sz w:val="24"/>
        </w:rPr>
        <w:t xml:space="preserve">财产清算程序：</w:t>
      </w:r>
      <w:r/>
    </w:p>
    <w:p>
      <w:pPr>
        <w:pStyle w:val="369"/>
        <w:ind w:firstLine="480"/>
        <w:snapToGrid w:val="1"/>
        <w:spacing w:lineRule="auto" w:line="360"/>
        <w:rPr>
          <w:rFonts w:ascii="宋体" w:hAnsi="宋体"/>
          <w:bCs/>
          <w:sz w:val="24"/>
        </w:rPr>
      </w:pPr>
      <w:r>
        <w:rPr>
          <w:rFonts w:ascii="宋体" w:hAnsi="宋体"/>
          <w:bCs/>
          <w:sz w:val="24"/>
        </w:rPr>
        <w:t xml:space="preserve">（1）《集合计划合同》终止情形出现时，由</w:t>
      </w:r>
      <w:r>
        <w:rPr>
          <w:rFonts w:ascii="宋体" w:hAnsi="宋体"/>
          <w:bCs/>
          <w:sz w:val="24"/>
        </w:rPr>
        <w:t xml:space="preserve">集合计划</w:t>
      </w:r>
      <w:r>
        <w:rPr>
          <w:rFonts w:ascii="宋体" w:hAnsi="宋体"/>
          <w:bCs/>
          <w:sz w:val="24"/>
        </w:rPr>
        <w:t xml:space="preserve">财产清算小组统一接管</w:t>
      </w:r>
      <w:r>
        <w:rPr>
          <w:rFonts w:ascii="宋体" w:hAnsi="宋体"/>
          <w:bCs/>
          <w:sz w:val="24"/>
        </w:rPr>
        <w:t xml:space="preserve">集合计划</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（2）对</w:t>
      </w:r>
      <w:r>
        <w:rPr>
          <w:rFonts w:ascii="宋体" w:hAnsi="宋体"/>
          <w:bCs/>
          <w:sz w:val="24"/>
        </w:rPr>
        <w:t xml:space="preserve">集合计划</w:t>
      </w:r>
      <w:r>
        <w:rPr>
          <w:rFonts w:ascii="宋体" w:hAnsi="宋体"/>
          <w:bCs/>
          <w:sz w:val="24"/>
        </w:rPr>
        <w:t xml:space="preserve">财产和债权债务进行清理和确认；</w:t>
      </w:r>
      <w:r/>
    </w:p>
    <w:p>
      <w:pPr>
        <w:pStyle w:val="369"/>
        <w:ind w:firstLine="480"/>
        <w:snapToGrid w:val="1"/>
        <w:spacing w:lineRule="auto" w:line="360"/>
        <w:rPr>
          <w:rFonts w:ascii="宋体" w:hAnsi="宋体"/>
          <w:bCs/>
          <w:sz w:val="24"/>
        </w:rPr>
      </w:pPr>
      <w:r>
        <w:rPr>
          <w:rFonts w:ascii="宋体" w:hAnsi="宋体"/>
          <w:bCs/>
          <w:sz w:val="24"/>
        </w:rPr>
        <w:t xml:space="preserve">（3）对</w:t>
      </w:r>
      <w:r>
        <w:rPr>
          <w:rFonts w:ascii="宋体" w:hAnsi="宋体"/>
          <w:bCs/>
          <w:sz w:val="24"/>
        </w:rPr>
        <w:t xml:space="preserve">集合计划</w:t>
      </w:r>
      <w:r>
        <w:rPr>
          <w:rFonts w:ascii="宋体" w:hAnsi="宋体"/>
          <w:bCs/>
          <w:sz w:val="24"/>
        </w:rPr>
        <w:t xml:space="preserve">财产进行估值和变现；</w:t>
      </w:r>
      <w:r/>
    </w:p>
    <w:p>
      <w:pPr>
        <w:pStyle w:val="369"/>
        <w:ind w:firstLine="480"/>
        <w:snapToGrid w:val="1"/>
        <w:spacing w:lineRule="auto" w:line="360"/>
        <w:rPr>
          <w:rFonts w:ascii="宋体" w:hAnsi="宋体"/>
          <w:bCs/>
          <w:sz w:val="24"/>
        </w:rPr>
      </w:pPr>
      <w:r>
        <w:rPr>
          <w:rFonts w:ascii="宋体" w:hAnsi="宋体"/>
          <w:bCs/>
          <w:sz w:val="24"/>
        </w:rPr>
        <w:t xml:space="preserve">（4）制作清算报告；</w:t>
      </w:r>
      <w:r/>
    </w:p>
    <w:p>
      <w:pPr>
        <w:pStyle w:val="369"/>
        <w:ind w:firstLine="480"/>
        <w:snapToGrid w:val="1"/>
        <w:spacing w:lineRule="auto" w:line="360"/>
        <w:rPr>
          <w:rFonts w:ascii="宋体" w:hAnsi="宋体"/>
          <w:bCs/>
          <w:sz w:val="24"/>
        </w:rPr>
      </w:pPr>
      <w:r>
        <w:rPr>
          <w:rFonts w:ascii="宋体" w:hAnsi="宋体"/>
          <w:bCs/>
          <w:sz w:val="24"/>
        </w:rPr>
        <w:t xml:space="preserve">（5）聘请会计师事务所对清算报告进行外部审计，聘请律师事务所对清算报告出具法律意见书；</w:t>
      </w:r>
      <w:r/>
    </w:p>
    <w:p>
      <w:pPr>
        <w:pStyle w:val="369"/>
        <w:ind w:firstLine="480"/>
        <w:snapToGrid w:val="1"/>
        <w:spacing w:lineRule="auto" w:line="360"/>
        <w:rPr>
          <w:rFonts w:ascii="宋体" w:hAnsi="宋体"/>
          <w:bCs/>
          <w:sz w:val="24"/>
        </w:rPr>
      </w:pPr>
      <w:r>
        <w:rPr>
          <w:rFonts w:ascii="宋体" w:hAnsi="宋体"/>
          <w:bCs/>
          <w:sz w:val="24"/>
        </w:rPr>
        <w:t xml:space="preserve">（6）将清算报告报中国证监会备案并公告</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（7）对</w:t>
      </w:r>
      <w:r>
        <w:rPr>
          <w:rFonts w:ascii="宋体" w:hAnsi="宋体"/>
          <w:bCs/>
          <w:sz w:val="24"/>
        </w:rPr>
        <w:t xml:space="preserve">集合计划剩余</w:t>
      </w:r>
      <w:r>
        <w:rPr>
          <w:rFonts w:ascii="宋体" w:hAnsi="宋体"/>
          <w:bCs/>
          <w:sz w:val="24"/>
        </w:rPr>
        <w:t xml:space="preserve">财产进行分配</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5、</w:t>
      </w:r>
      <w:r>
        <w:rPr>
          <w:rFonts w:ascii="宋体" w:hAnsi="宋体"/>
          <w:bCs/>
          <w:sz w:val="24"/>
        </w:rPr>
        <w:t xml:space="preserve">集合计划</w:t>
      </w:r>
      <w:r>
        <w:rPr>
          <w:rFonts w:ascii="宋体" w:hAnsi="宋体"/>
          <w:bCs/>
          <w:sz w:val="24"/>
        </w:rPr>
        <w:t xml:space="preserve">财产清算的期限为</w:t>
      </w:r>
      <w:r>
        <w:rPr>
          <w:rFonts w:ascii="宋体" w:hAnsi="宋体"/>
          <w:bCs/>
          <w:sz w:val="24"/>
        </w:rPr>
        <w:t xml:space="preserve">6</w:t>
      </w:r>
      <w:r>
        <w:rPr>
          <w:rFonts w:ascii="宋体" w:hAnsi="宋体"/>
          <w:bCs/>
          <w:sz w:val="24"/>
        </w:rPr>
        <w:t xml:space="preserve">个月，但因本集合计划所持证券的流动性受到限制而不能及时</w:t>
      </w:r>
      <w:r>
        <w:rPr>
          <w:rFonts w:ascii="宋体" w:hAnsi="宋体"/>
          <w:bCs/>
          <w:sz w:val="24"/>
        </w:rPr>
        <w:t xml:space="preserve">变现的，管理人可针对该部分未能变现证券制定二次清算方案，该方案应经托管人认可，并通过管理人网站进行披露。管理人应根据二次清算方案的规定，对该部分流通受限证券在可流通变现后进行二次或多次清算，并将变现后的资产按合同约定以货币形式全部分配给份额持有人。</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四</w:t>
      </w:r>
      <w:r>
        <w:rPr>
          <w:rFonts w:ascii="宋体" w:hAnsi="宋体"/>
          <w:bCs/>
          <w:sz w:val="24"/>
        </w:rPr>
        <w:t xml:space="preserve">）清算费用</w:t>
      </w:r>
      <w:r/>
    </w:p>
    <w:p>
      <w:pPr>
        <w:pStyle w:val="369"/>
        <w:ind w:firstLine="480"/>
        <w:snapToGrid w:val="1"/>
        <w:spacing w:lineRule="auto" w:line="360"/>
        <w:rPr>
          <w:rFonts w:ascii="宋体" w:hAnsi="宋体"/>
          <w:bCs/>
          <w:sz w:val="24"/>
        </w:rPr>
      </w:pPr>
      <w:r>
        <w:rPr>
          <w:rFonts w:ascii="宋体" w:hAnsi="宋体"/>
          <w:bCs/>
          <w:sz w:val="24"/>
        </w:rPr>
        <w:t xml:space="preserve">清算费用是指</w:t>
      </w:r>
      <w:r>
        <w:rPr>
          <w:rFonts w:ascii="宋体" w:hAnsi="宋体"/>
          <w:bCs/>
          <w:sz w:val="24"/>
        </w:rPr>
        <w:t xml:space="preserve">集合计划</w:t>
      </w:r>
      <w:r>
        <w:rPr>
          <w:rFonts w:ascii="宋体" w:hAnsi="宋体"/>
          <w:bCs/>
          <w:sz w:val="24"/>
        </w:rPr>
        <w:t xml:space="preserve">财产清算小组在进行</w:t>
      </w:r>
      <w:r>
        <w:rPr>
          <w:rFonts w:ascii="宋体" w:hAnsi="宋体"/>
          <w:bCs/>
          <w:sz w:val="24"/>
        </w:rPr>
        <w:t xml:space="preserve">集合计划</w:t>
      </w:r>
      <w:r>
        <w:rPr>
          <w:rFonts w:ascii="宋体" w:hAnsi="宋体"/>
          <w:bCs/>
          <w:sz w:val="24"/>
        </w:rPr>
        <w:t xml:space="preserve">清算过程中发生的所有合理费用，清算费用由</w:t>
      </w:r>
      <w:r>
        <w:rPr>
          <w:rFonts w:ascii="宋体" w:hAnsi="宋体"/>
          <w:bCs/>
          <w:sz w:val="24"/>
        </w:rPr>
        <w:t xml:space="preserve">集合计划</w:t>
      </w:r>
      <w:r>
        <w:rPr>
          <w:rFonts w:ascii="宋体" w:hAnsi="宋体"/>
          <w:bCs/>
          <w:sz w:val="24"/>
        </w:rPr>
        <w:t xml:space="preserve">财产清算小组优先从</w:t>
      </w:r>
      <w:r>
        <w:rPr>
          <w:rFonts w:ascii="宋体" w:hAnsi="宋体"/>
          <w:bCs/>
          <w:sz w:val="24"/>
        </w:rPr>
        <w:t xml:space="preserve">集合计划</w:t>
      </w:r>
      <w:r>
        <w:rPr>
          <w:rFonts w:ascii="宋体" w:hAnsi="宋体"/>
          <w:bCs/>
          <w:sz w:val="24"/>
        </w:rPr>
        <w:t xml:space="preserve">财产中支付。</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五</w:t>
      </w:r>
      <w:r>
        <w:rPr>
          <w:rFonts w:ascii="宋体" w:hAnsi="宋体"/>
          <w:bCs/>
          <w:sz w:val="24"/>
        </w:rPr>
        <w:t xml:space="preserve">）</w:t>
      </w:r>
      <w:r>
        <w:rPr>
          <w:rFonts w:ascii="宋体" w:hAnsi="宋体"/>
          <w:bCs/>
          <w:sz w:val="24"/>
        </w:rPr>
        <w:t xml:space="preserve">集合计划</w:t>
      </w:r>
      <w:r>
        <w:rPr>
          <w:rFonts w:ascii="宋体" w:hAnsi="宋体"/>
          <w:bCs/>
          <w:sz w:val="24"/>
        </w:rPr>
        <w:t xml:space="preserve">财产清算剩余资产的分配</w:t>
      </w:r>
      <w:r/>
    </w:p>
    <w:p>
      <w:pPr>
        <w:pStyle w:val="369"/>
        <w:ind w:firstLine="480"/>
        <w:snapToGrid w:val="1"/>
        <w:spacing w:lineRule="auto" w:line="360"/>
        <w:rPr>
          <w:rFonts w:ascii="宋体" w:hAnsi="宋体"/>
          <w:bCs/>
          <w:sz w:val="24"/>
        </w:rPr>
      </w:pPr>
      <w:r>
        <w:rPr>
          <w:rFonts w:ascii="宋体" w:hAnsi="宋体"/>
          <w:bCs/>
          <w:sz w:val="24"/>
        </w:rPr>
        <w:t xml:space="preserve">依据</w:t>
      </w:r>
      <w:r>
        <w:rPr>
          <w:rFonts w:ascii="宋体" w:hAnsi="宋体"/>
          <w:bCs/>
          <w:sz w:val="24"/>
        </w:rPr>
        <w:t xml:space="preserve">集合计划</w:t>
      </w:r>
      <w:r>
        <w:rPr>
          <w:rFonts w:ascii="宋体" w:hAnsi="宋体"/>
          <w:bCs/>
          <w:sz w:val="24"/>
        </w:rPr>
        <w:t xml:space="preserve">财产清算的分配方案，将</w:t>
      </w:r>
      <w:r>
        <w:rPr>
          <w:rFonts w:ascii="宋体" w:hAnsi="宋体"/>
          <w:bCs/>
          <w:sz w:val="24"/>
        </w:rPr>
        <w:t xml:space="preserve">集合计划</w:t>
      </w:r>
      <w:r>
        <w:rPr>
          <w:rFonts w:ascii="宋体" w:hAnsi="宋体"/>
          <w:bCs/>
          <w:sz w:val="24"/>
        </w:rPr>
        <w:t xml:space="preserve">财产清算后的全部剩余资产扣除</w:t>
      </w:r>
      <w:r>
        <w:rPr>
          <w:rFonts w:ascii="宋体" w:hAnsi="宋体"/>
          <w:bCs/>
          <w:sz w:val="24"/>
        </w:rPr>
        <w:t xml:space="preserve">集合</w:t>
      </w:r>
      <w:r>
        <w:rPr>
          <w:rFonts w:ascii="宋体" w:hAnsi="宋体"/>
          <w:bCs/>
          <w:sz w:val="24"/>
        </w:rPr>
        <w:t xml:space="preserve">计划</w:t>
      </w:r>
      <w:r>
        <w:rPr>
          <w:rFonts w:ascii="宋体" w:hAnsi="宋体"/>
          <w:bCs/>
          <w:sz w:val="24"/>
        </w:rPr>
        <w:t xml:space="preserve">财产清算费用、交纳所欠税款并清偿</w:t>
      </w:r>
      <w:r>
        <w:rPr>
          <w:rFonts w:ascii="宋体" w:hAnsi="宋体"/>
          <w:bCs/>
          <w:sz w:val="24"/>
        </w:rPr>
        <w:t xml:space="preserve">集合计划</w:t>
      </w:r>
      <w:r>
        <w:rPr>
          <w:rFonts w:ascii="宋体" w:hAnsi="宋体"/>
          <w:bCs/>
          <w:sz w:val="24"/>
        </w:rPr>
        <w:t xml:space="preserve">债务后，按集合计划份额持有人持有的</w:t>
      </w:r>
      <w:r>
        <w:rPr>
          <w:rFonts w:ascii="宋体" w:hAnsi="宋体"/>
          <w:bCs/>
          <w:sz w:val="24"/>
        </w:rPr>
        <w:t xml:space="preserve">集合计划</w:t>
      </w:r>
      <w:r>
        <w:rPr>
          <w:rFonts w:ascii="宋体" w:hAnsi="宋体"/>
          <w:bCs/>
          <w:sz w:val="24"/>
        </w:rPr>
        <w:t xml:space="preserve">份额比例进行分配。</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六</w:t>
      </w:r>
      <w:r>
        <w:rPr>
          <w:rFonts w:ascii="宋体" w:hAnsi="宋体"/>
          <w:bCs/>
          <w:sz w:val="24"/>
        </w:rPr>
        <w:t xml:space="preserve">）</w:t>
      </w:r>
      <w:r>
        <w:rPr>
          <w:rFonts w:ascii="宋体" w:hAnsi="宋体"/>
          <w:bCs/>
          <w:sz w:val="24"/>
        </w:rPr>
        <w:t xml:space="preserve">集合计划</w:t>
      </w:r>
      <w:r>
        <w:rPr>
          <w:rFonts w:ascii="宋体" w:hAnsi="宋体"/>
          <w:bCs/>
          <w:sz w:val="24"/>
        </w:rPr>
        <w:t xml:space="preserve">财产清算的公告</w:t>
      </w:r>
      <w:r/>
    </w:p>
    <w:p>
      <w:pPr>
        <w:pStyle w:val="369"/>
        <w:ind w:firstLine="480"/>
        <w:snapToGrid w:val="1"/>
        <w:spacing w:lineRule="auto" w:line="360"/>
        <w:rPr>
          <w:rFonts w:ascii="宋体" w:hAnsi="宋体"/>
          <w:bCs/>
          <w:sz w:val="24"/>
        </w:rPr>
      </w:pPr>
      <w:r>
        <w:rPr>
          <w:rFonts w:ascii="宋体" w:hAnsi="宋体"/>
          <w:bCs/>
          <w:sz w:val="24"/>
        </w:rPr>
        <w:t xml:space="preserve">清算过程中的有关重大事项须及时公告；</w:t>
      </w:r>
      <w:r>
        <w:rPr>
          <w:rFonts w:ascii="宋体" w:hAnsi="宋体"/>
          <w:bCs/>
          <w:sz w:val="24"/>
        </w:rPr>
        <w:t xml:space="preserve">集合计划</w:t>
      </w:r>
      <w:r>
        <w:rPr>
          <w:rFonts w:ascii="宋体" w:hAnsi="宋体"/>
          <w:bCs/>
          <w:sz w:val="24"/>
        </w:rPr>
        <w:t xml:space="preserve">财产清算报告应当经</w:t>
      </w:r>
      <w:r>
        <w:rPr>
          <w:rFonts w:ascii="宋体" w:hAnsi="宋体"/>
          <w:sz w:val="24"/>
        </w:rPr>
        <w:t xml:space="preserve">符合《中华人民共和国证券法》规定的</w:t>
      </w:r>
      <w:r>
        <w:rPr>
          <w:rFonts w:ascii="宋体" w:hAnsi="宋体"/>
          <w:bCs/>
          <w:sz w:val="24"/>
        </w:rPr>
        <w:t xml:space="preserve">会计师事务所审计并由律师事务所出具法律意见书后报中国证监会备案并公告。</w:t>
      </w:r>
      <w:r>
        <w:rPr>
          <w:rFonts w:ascii="宋体" w:hAnsi="宋体"/>
          <w:bCs/>
          <w:sz w:val="24"/>
        </w:rPr>
        <w:t xml:space="preserve">集合计划</w:t>
      </w:r>
      <w:r>
        <w:rPr>
          <w:rFonts w:ascii="宋体" w:hAnsi="宋体"/>
          <w:bCs/>
          <w:sz w:val="24"/>
        </w:rPr>
        <w:t xml:space="preserve">财产清算公告于</w:t>
      </w:r>
      <w:r>
        <w:rPr>
          <w:rFonts w:ascii="宋体" w:hAnsi="宋体"/>
          <w:bCs/>
          <w:sz w:val="24"/>
        </w:rPr>
        <w:t xml:space="preserve">集合计划</w:t>
      </w:r>
      <w:r>
        <w:rPr>
          <w:rFonts w:ascii="宋体" w:hAnsi="宋体"/>
          <w:bCs/>
          <w:sz w:val="24"/>
        </w:rPr>
        <w:t xml:space="preserve">财产清算报告报中国证监会备案后5个工作日内由</w:t>
      </w:r>
      <w:r>
        <w:rPr>
          <w:rFonts w:ascii="宋体" w:hAnsi="宋体"/>
          <w:bCs/>
          <w:sz w:val="24"/>
        </w:rPr>
        <w:t xml:space="preserve">集合计划</w:t>
      </w:r>
      <w:r>
        <w:rPr>
          <w:rFonts w:ascii="宋体" w:hAnsi="宋体"/>
          <w:bCs/>
          <w:sz w:val="24"/>
        </w:rPr>
        <w:t xml:space="preserve">财产清算小组进行公告</w:t>
      </w:r>
      <w:r>
        <w:rPr>
          <w:rFonts w:ascii="宋体" w:hAnsi="宋体"/>
          <w:sz w:val="24"/>
        </w:rPr>
        <w:t xml:space="preserve">，集合计划财产清算小组应当将清算报告登载在规定网站上，并将清算报告提示性公告登载在规定报刊上</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w:t>
      </w:r>
      <w:r>
        <w:rPr>
          <w:rFonts w:ascii="宋体" w:hAnsi="宋体"/>
          <w:bCs/>
          <w:sz w:val="24"/>
        </w:rPr>
        <w:t xml:space="preserve">七</w:t>
      </w:r>
      <w:r>
        <w:rPr>
          <w:rFonts w:ascii="宋体" w:hAnsi="宋体"/>
          <w:bCs/>
          <w:sz w:val="24"/>
        </w:rPr>
        <w:t xml:space="preserve">）</w:t>
      </w:r>
      <w:r>
        <w:rPr>
          <w:rFonts w:ascii="宋体" w:hAnsi="宋体"/>
          <w:bCs/>
          <w:sz w:val="24"/>
        </w:rPr>
        <w:t xml:space="preserve">集合计</w:t>
      </w:r>
      <w:r>
        <w:rPr>
          <w:rFonts w:ascii="宋体" w:hAnsi="宋体"/>
          <w:bCs/>
          <w:sz w:val="24"/>
        </w:rPr>
        <w:t xml:space="preserve">划</w:t>
      </w:r>
      <w:r>
        <w:rPr>
          <w:rFonts w:ascii="宋体" w:hAnsi="宋体"/>
          <w:bCs/>
          <w:sz w:val="24"/>
        </w:rPr>
        <w:t xml:space="preserve">财产清算账册及文件的保存</w:t>
      </w:r>
      <w:r/>
    </w:p>
    <w:p>
      <w:pPr>
        <w:pStyle w:val="369"/>
        <w:ind w:firstLine="480"/>
        <w:snapToGrid w:val="1"/>
        <w:spacing w:lineRule="auto" w:line="360"/>
        <w:rPr>
          <w:rFonts w:ascii="宋体" w:hAnsi="宋体"/>
          <w:bCs/>
          <w:sz w:val="24"/>
        </w:rPr>
      </w:pPr>
      <w:r>
        <w:rPr>
          <w:rFonts w:ascii="宋体" w:hAnsi="宋体"/>
          <w:bCs/>
          <w:sz w:val="24"/>
        </w:rPr>
        <w:t xml:space="preserve">集合计划</w:t>
      </w:r>
      <w:r>
        <w:rPr>
          <w:rFonts w:ascii="宋体" w:hAnsi="宋体"/>
          <w:bCs/>
          <w:sz w:val="24"/>
        </w:rPr>
        <w:t xml:space="preserve">财产清算账册及有关文件由托管人保存</w:t>
      </w:r>
      <w:r>
        <w:rPr>
          <w:rFonts w:ascii="宋体" w:hAnsi="宋体"/>
          <w:sz w:val="24"/>
        </w:rPr>
        <w:t xml:space="preserve">不低于法律法规规定的最低期限</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八、争议的处理和适用的法律</w:t>
      </w:r>
      <w:r/>
    </w:p>
    <w:p>
      <w:pPr>
        <w:pStyle w:val="369"/>
        <w:ind w:firstLine="480"/>
        <w:snapToGrid w:val="1"/>
        <w:spacing w:lineRule="auto" w:line="360"/>
        <w:rPr>
          <w:rFonts w:ascii="宋体" w:hAnsi="宋体"/>
          <w:sz w:val="24"/>
        </w:rPr>
      </w:pPr>
      <w:r>
        <w:rPr>
          <w:rFonts w:ascii="宋体" w:hAnsi="宋体"/>
          <w:bCs/>
          <w:sz w:val="24"/>
        </w:rPr>
        <w:t xml:space="preserve">各方当事人同意，因《集合计划合同》而产生的或与《集合计划合同》有关的一切争议，如经友好协商未能解决的，应提交上海国际经济贸易仲裁委员会</w:t>
      </w:r>
      <w:r>
        <w:rPr>
          <w:rFonts w:ascii="宋体" w:hAnsi="宋体"/>
          <w:bCs/>
          <w:sz w:val="24"/>
        </w:rPr>
        <w:t xml:space="preserve">（上海国际仲裁中心），</w:t>
      </w:r>
      <w:r>
        <w:rPr>
          <w:rFonts w:ascii="宋体" w:hAnsi="宋体"/>
          <w:bCs/>
          <w:sz w:val="24"/>
        </w:rPr>
        <w:t xml:space="preserve">根据</w:t>
      </w:r>
      <w:r>
        <w:rPr>
          <w:rFonts w:ascii="宋体" w:hAnsi="宋体"/>
          <w:bCs/>
          <w:sz w:val="24"/>
        </w:rPr>
        <w:t xml:space="preserve">其届时有效的仲裁规则进行仲裁，仲裁地为上海。</w:t>
      </w:r>
      <w:r>
        <w:rPr>
          <w:rFonts w:ascii="宋体" w:hAnsi="宋体"/>
          <w:sz w:val="24"/>
        </w:rPr>
        <w:t xml:space="preserve">仲裁裁决是终局的，并对相关各方当事人均有约束力。仲裁费用由败诉方承担。</w:t>
      </w:r>
      <w:r>
        <w:rPr>
          <w:rFonts w:ascii="宋体" w:hAnsi="宋体"/>
          <w:sz w:val="24"/>
        </w:rPr>
      </w:r>
      <w:r/>
    </w:p>
    <w:p>
      <w:pPr>
        <w:pStyle w:val="369"/>
        <w:ind w:firstLine="480"/>
        <w:snapToGrid w:val="1"/>
        <w:spacing w:lineRule="auto" w:line="360"/>
        <w:rPr>
          <w:rFonts w:ascii="宋体" w:hAnsi="宋体"/>
          <w:bCs/>
          <w:sz w:val="24"/>
        </w:rPr>
      </w:pPr>
      <w:r>
        <w:rPr>
          <w:rFonts w:ascii="宋体" w:hAnsi="宋体"/>
          <w:sz w:val="24"/>
        </w:rPr>
        <w:t xml:space="preserve">争议</w:t>
      </w:r>
      <w:r>
        <w:rPr>
          <w:rFonts w:ascii="宋体" w:hAnsi="宋体"/>
          <w:bCs/>
          <w:sz w:val="24"/>
        </w:rPr>
        <w:t xml:space="preserve">处理期间，本合同当事人应恪守各自的职责，继续忠实、勤勉、尽责地履行集合计划合同规定的义务，维护集合计划</w:t>
      </w:r>
      <w:r>
        <w:rPr>
          <w:rFonts w:ascii="宋体" w:hAnsi="宋体"/>
          <w:bCs/>
          <w:sz w:val="24"/>
        </w:rPr>
        <w:t xml:space="preserve">份额持有人</w:t>
      </w:r>
      <w:r>
        <w:rPr>
          <w:rFonts w:ascii="宋体" w:hAnsi="宋体"/>
          <w:sz w:val="24"/>
        </w:rPr>
        <w:t xml:space="preserve">的</w:t>
      </w:r>
      <w:r>
        <w:rPr>
          <w:rFonts w:ascii="宋体" w:hAnsi="宋体"/>
          <w:bCs/>
          <w:sz w:val="24"/>
        </w:rPr>
        <w:t xml:space="preserve">合法权益</w:t>
      </w:r>
      <w:r>
        <w:rPr>
          <w:rFonts w:ascii="宋体" w:hAnsi="宋体"/>
          <w:bCs/>
          <w:sz w:val="24"/>
        </w:rPr>
        <w:t xml:space="preserve">。</w:t>
      </w:r>
      <w:r>
        <w:rPr>
          <w:rFonts w:ascii="宋体" w:hAnsi="宋体"/>
          <w:bCs/>
          <w:sz w:val="24"/>
        </w:rPr>
      </w:r>
      <w:r/>
    </w:p>
    <w:p>
      <w:pPr>
        <w:pStyle w:val="369"/>
        <w:ind w:firstLine="480"/>
        <w:snapToGrid w:val="1"/>
        <w:spacing w:lineRule="auto" w:line="360"/>
        <w:rPr>
          <w:rFonts w:ascii="宋体" w:hAnsi="宋体"/>
          <w:bCs/>
          <w:sz w:val="24"/>
        </w:rPr>
      </w:pPr>
      <w:r>
        <w:rPr>
          <w:rFonts w:ascii="宋体" w:hAnsi="宋体"/>
          <w:bCs/>
          <w:sz w:val="24"/>
        </w:rPr>
        <w:t xml:space="preserve">《集合计划合同》受中国法律管辖。</w:t>
      </w:r>
      <w:r/>
    </w:p>
    <w:p>
      <w:pPr>
        <w:pStyle w:val="369"/>
        <w:ind w:firstLine="480"/>
        <w:snapToGrid w:val="1"/>
        <w:spacing w:lineRule="auto" w:line="360"/>
        <w:rPr>
          <w:rFonts w:ascii="宋体" w:hAnsi="宋体"/>
          <w:bCs/>
          <w:sz w:val="24"/>
        </w:rPr>
      </w:pPr>
      <w:r>
        <w:rPr>
          <w:rFonts w:ascii="宋体" w:hAnsi="宋体"/>
          <w:bCs/>
          <w:sz w:val="24"/>
        </w:rPr>
        <w:t xml:space="preserve">九、集合计划合同存放地和投资者取得集合计划合同的方式</w:t>
      </w:r>
      <w:r/>
    </w:p>
    <w:p>
      <w:pPr>
        <w:pStyle w:val="369"/>
        <w:ind w:firstLine="480"/>
        <w:snapToGrid w:val="1"/>
        <w:spacing w:lineRule="auto" w:line="360"/>
        <w:rPr>
          <w:rFonts w:ascii="宋体" w:hAnsi="宋体"/>
          <w:bCs/>
          <w:sz w:val="24"/>
        </w:rPr>
      </w:pPr>
      <w:r>
        <w:rPr>
          <w:rFonts w:ascii="宋体" w:hAnsi="宋体"/>
          <w:bCs/>
          <w:sz w:val="24"/>
        </w:rPr>
        <w:t xml:space="preserve">《集合计划合同》是约定</w:t>
      </w:r>
      <w:r>
        <w:rPr>
          <w:rFonts w:ascii="宋体" w:hAnsi="宋体"/>
          <w:bCs/>
          <w:sz w:val="24"/>
        </w:rPr>
        <w:t xml:space="preserve">集合计划合同当事人</w:t>
      </w:r>
      <w:r>
        <w:rPr>
          <w:rFonts w:ascii="宋体" w:hAnsi="宋体"/>
          <w:bCs/>
          <w:sz w:val="24"/>
        </w:rPr>
        <w:t xml:space="preserve">之间权利义务关系的法律文件。</w:t>
      </w:r>
      <w:r/>
    </w:p>
    <w:p>
      <w:pPr>
        <w:pStyle w:val="369"/>
        <w:ind w:firstLine="480"/>
        <w:snapToGrid w:val="1"/>
        <w:spacing w:lineRule="auto" w:line="360"/>
        <w:rPr>
          <w:rFonts w:ascii="宋体" w:hAnsi="宋体"/>
          <w:bCs/>
          <w:sz w:val="24"/>
        </w:rPr>
      </w:pPr>
      <w:r>
        <w:rPr>
          <w:rFonts w:ascii="宋体" w:hAnsi="宋体"/>
          <w:bCs/>
          <w:sz w:val="24"/>
        </w:rPr>
        <w:t xml:space="preserve">1、《集合计划合同》</w:t>
      </w:r>
      <w:r>
        <w:rPr>
          <w:rFonts w:ascii="宋体" w:hAnsi="宋体"/>
          <w:bCs/>
          <w:sz w:val="24"/>
        </w:rPr>
        <w:t xml:space="preserve">经管理人、托管人双方盖章以及双方法定代表人或授权代表签字或盖章并经管理人向中国证监会提交变更《东海证券东风9号集合资产管理计划合同》的申请并经中国证监会批准后，于</w:t>
      </w:r>
      <w:r>
        <w:rPr>
          <w:rFonts w:ascii="宋体" w:hAnsi="宋体"/>
          <w:bCs/>
          <w:sz w:val="24"/>
        </w:rPr>
        <w:t xml:space="preserve">202  </w:t>
      </w:r>
      <w:r>
        <w:rPr>
          <w:rFonts w:ascii="宋体" w:hAnsi="宋体"/>
          <w:bCs/>
          <w:sz w:val="24"/>
        </w:rPr>
        <w:t xml:space="preserve">年   月   日</w:t>
      </w:r>
      <w:r>
        <w:rPr>
          <w:rFonts w:ascii="宋体" w:hAnsi="宋体"/>
          <w:bCs/>
          <w:sz w:val="24"/>
        </w:rPr>
        <w:t xml:space="preserve">起生效，原《东海证券东风9号集合资产管理计划合同》同日起失效</w:t>
      </w:r>
      <w:r>
        <w:rPr>
          <w:rFonts w:ascii="宋体" w:hAnsi="宋体"/>
          <w:bCs/>
          <w:sz w:val="24"/>
        </w:rPr>
        <w:t xml:space="preserve">。</w:t>
      </w:r>
      <w:r/>
    </w:p>
    <w:p>
      <w:pPr>
        <w:pStyle w:val="369"/>
        <w:ind w:firstLine="480"/>
        <w:snapToGrid w:val="1"/>
        <w:spacing w:lineRule="auto" w:line="360"/>
        <w:rPr>
          <w:rFonts w:ascii="宋体" w:hAnsi="宋体"/>
          <w:bCs/>
          <w:sz w:val="24"/>
        </w:rPr>
      </w:pPr>
      <w:r>
        <w:rPr>
          <w:rFonts w:ascii="宋体" w:hAnsi="宋体"/>
          <w:bCs/>
          <w:sz w:val="24"/>
        </w:rPr>
        <w:t xml:space="preserve">2、《集合计划合同》的有效期自其生效之日起至</w:t>
      </w:r>
      <w:r>
        <w:rPr>
          <w:rFonts w:ascii="宋体" w:hAnsi="宋体"/>
          <w:bCs/>
          <w:sz w:val="24"/>
        </w:rPr>
        <w:t xml:space="preserve">集</w:t>
      </w:r>
      <w:r>
        <w:rPr>
          <w:rFonts w:ascii="宋体" w:hAnsi="宋体"/>
          <w:bCs/>
          <w:sz w:val="24"/>
        </w:rPr>
        <w:t xml:space="preserve">合计划</w:t>
      </w:r>
      <w:r>
        <w:rPr>
          <w:rFonts w:ascii="宋体" w:hAnsi="宋体"/>
          <w:bCs/>
          <w:sz w:val="24"/>
        </w:rPr>
        <w:t xml:space="preserve">财产清算结果报中国证监会</w:t>
      </w:r>
      <w:r>
        <w:rPr>
          <w:rFonts w:ascii="宋体" w:hAnsi="宋体"/>
          <w:bCs/>
          <w:sz w:val="24"/>
        </w:rPr>
        <w:t xml:space="preserve">备案</w:t>
      </w:r>
      <w:r>
        <w:rPr>
          <w:rFonts w:ascii="宋体" w:hAnsi="宋体"/>
          <w:bCs/>
          <w:sz w:val="24"/>
        </w:rPr>
        <w:t xml:space="preserve">并公告之日止。</w:t>
      </w:r>
      <w:r/>
    </w:p>
    <w:p>
      <w:pPr>
        <w:pStyle w:val="369"/>
        <w:ind w:firstLine="480"/>
        <w:snapToGrid w:val="1"/>
        <w:spacing w:lineRule="auto" w:line="360"/>
        <w:rPr>
          <w:rFonts w:ascii="宋体" w:hAnsi="宋体"/>
          <w:bCs/>
          <w:sz w:val="24"/>
        </w:rPr>
      </w:pPr>
      <w:r>
        <w:rPr>
          <w:rFonts w:ascii="宋体" w:hAnsi="宋体"/>
          <w:bCs/>
          <w:sz w:val="24"/>
        </w:rPr>
        <w:t xml:space="preserve">3、《集合计划合同》自生效之日起对包括管理人、托管人和集合计划份额持有人在内的《集合计划合同》各方当事人具有同等的法律约束力。</w:t>
      </w:r>
      <w:r/>
    </w:p>
    <w:p>
      <w:pPr>
        <w:pStyle w:val="369"/>
        <w:ind w:firstLine="480"/>
        <w:snapToGrid w:val="1"/>
        <w:spacing w:lineRule="auto" w:line="360"/>
        <w:rPr>
          <w:rFonts w:ascii="宋体" w:hAnsi="宋体"/>
          <w:bCs/>
          <w:sz w:val="24"/>
        </w:rPr>
      </w:pPr>
      <w:r>
        <w:rPr>
          <w:rFonts w:ascii="宋体" w:hAnsi="宋体"/>
          <w:bCs/>
          <w:sz w:val="24"/>
        </w:rPr>
        <w:t xml:space="preserve">4、《集合计划合同》正本一式</w:t>
      </w:r>
      <w:r>
        <w:rPr>
          <w:rFonts w:ascii="宋体" w:hAnsi="宋体"/>
          <w:bCs/>
          <w:sz w:val="24"/>
        </w:rPr>
        <w:t xml:space="preserve">伍</w:t>
      </w:r>
      <w:r>
        <w:rPr>
          <w:rFonts w:ascii="宋体" w:hAnsi="宋体"/>
          <w:bCs/>
          <w:sz w:val="24"/>
        </w:rPr>
        <w:t xml:space="preserve">份，除上报有关监管机构一式</w:t>
      </w:r>
      <w:r>
        <w:rPr>
          <w:rFonts w:ascii="宋体" w:hAnsi="宋体"/>
          <w:bCs/>
          <w:sz w:val="24"/>
        </w:rPr>
        <w:t xml:space="preserve">贰</w:t>
      </w:r>
      <w:r>
        <w:rPr>
          <w:rFonts w:ascii="宋体" w:hAnsi="宋体"/>
          <w:bCs/>
          <w:sz w:val="24"/>
        </w:rPr>
        <w:t xml:space="preserve">份外，管理人持有贰份、托管人持有壹份，每份具有同等的法律效力。</w:t>
      </w:r>
      <w:r/>
    </w:p>
    <w:p>
      <w:pPr>
        <w:pStyle w:val="369"/>
        <w:ind w:firstLine="480"/>
        <w:snapToGrid w:val="1"/>
        <w:spacing w:lineRule="auto" w:line="360"/>
        <w:rPr>
          <w:rFonts w:ascii="宋体" w:hAnsi="宋体"/>
        </w:rPr>
      </w:pPr>
      <w:r>
        <w:rPr>
          <w:rFonts w:ascii="宋体" w:hAnsi="宋体"/>
          <w:bCs/>
          <w:sz w:val="24"/>
        </w:rPr>
        <w:t xml:space="preserve">5、《集合计划合同》可印制成册，供投资者在管理人、托管人、销售机构的办公场所和营业场所查阅。</w:t>
      </w:r>
      <w:r>
        <w:rPr>
          <w:rFonts w:ascii="宋体" w:hAnsi="宋体"/>
        </w:rPr>
      </w:r>
      <w:r/>
    </w:p>
    <w:p>
      <w:pPr>
        <w:pStyle w:val="369"/>
        <w:ind w:firstLine="420"/>
        <w:jc w:val="right"/>
        <w:snapToGrid w:val="1"/>
        <w:spacing w:lineRule="auto" w:line="360"/>
        <w:rPr>
          <w:rFonts w:ascii="宋体" w:hAnsi="宋体"/>
          <w:bCs/>
        </w:rPr>
      </w:pPr>
      <w:r>
        <w:rPr>
          <w:rFonts w:ascii="宋体" w:hAnsi="宋体"/>
          <w:bCs/>
        </w:rPr>
      </w:r>
      <w:r/>
    </w:p>
    <w:p>
      <w:pPr>
        <w:pStyle w:val="369"/>
        <w:ind w:right="26"/>
        <w:snapToGrid w:val="1"/>
        <w:spacing w:lineRule="auto" w:line="360"/>
        <w:rPr>
          <w:rFonts w:ascii="宋体" w:hAnsi="宋体"/>
          <w:sz w:val="24"/>
        </w:rPr>
      </w:pPr>
      <w:r>
        <w:rPr>
          <w:rFonts w:ascii="宋体" w:hAnsi="宋体"/>
          <w:bCs/>
        </w:rPr>
        <w:br w:type="page"/>
      </w:r>
      <w:r>
        <w:rPr>
          <w:rFonts w:ascii="宋体" w:hAnsi="宋体"/>
          <w:sz w:val="24"/>
        </w:rPr>
        <w:t xml:space="preserve">本页无正文，为《</w:t>
      </w:r>
      <w:r>
        <w:rPr>
          <w:rFonts w:ascii="宋体" w:hAnsi="宋体"/>
          <w:sz w:val="24"/>
        </w:rPr>
        <w:t xml:space="preserve">东海证券海盈3个月持有期混合型集合资产管理计划资产管理合同</w:t>
      </w:r>
      <w:r>
        <w:rPr>
          <w:rFonts w:ascii="宋体" w:hAnsi="宋体"/>
          <w:sz w:val="24"/>
        </w:rPr>
        <w:t xml:space="preserve">》的签字盖章页。</w:t>
      </w:r>
      <w:r/>
    </w:p>
    <w:p>
      <w:pPr>
        <w:pStyle w:val="369"/>
        <w:snapToGrid w:val="1"/>
        <w:spacing w:lineRule="auto" w:line="360"/>
        <w:rPr>
          <w:rFonts w:ascii="宋体" w:hAnsi="宋体"/>
          <w:sz w:val="24"/>
        </w:rPr>
      </w:pPr>
      <w:r>
        <w:rPr>
          <w:rFonts w:ascii="宋体" w:hAnsi="宋体"/>
          <w:sz w:val="24"/>
        </w:rPr>
      </w:r>
      <w:r/>
    </w:p>
    <w:p>
      <w:pPr>
        <w:pStyle w:val="369"/>
        <w:snapToGrid w:val="1"/>
        <w:spacing w:lineRule="auto" w:line="360"/>
        <w:rPr>
          <w:rFonts w:ascii="宋体" w:hAnsi="宋体"/>
          <w:sz w:val="24"/>
        </w:rPr>
      </w:pPr>
      <w:r>
        <w:rPr>
          <w:rFonts w:ascii="宋体" w:hAnsi="宋体"/>
          <w:sz w:val="24"/>
        </w:rPr>
      </w:r>
      <w:r/>
    </w:p>
    <w:p>
      <w:pPr>
        <w:pStyle w:val="369"/>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t xml:space="preserve">管理人：</w:t>
      </w:r>
      <w:r>
        <w:rPr>
          <w:rFonts w:ascii="宋体" w:hAnsi="宋体"/>
          <w:sz w:val="24"/>
        </w:rPr>
        <w:t xml:space="preserve">东海证券股份有限公司（公章/合同专用章）</w:t>
      </w: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t xml:space="preserve">法定代表人或授权代表：</w:t>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t xml:space="preserve">托管人：</w:t>
      </w:r>
      <w:r>
        <w:rPr>
          <w:rFonts w:ascii="宋体" w:hAnsi="宋体"/>
          <w:sz w:val="24"/>
        </w:rPr>
        <w:t xml:space="preserve">交通银行股份有限公司（公章/合同专用章）</w:t>
      </w: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r>
      <w:r/>
    </w:p>
    <w:p>
      <w:pPr>
        <w:pStyle w:val="369"/>
        <w:ind w:right="26"/>
        <w:snapToGrid w:val="1"/>
        <w:spacing w:lineRule="auto" w:line="360"/>
        <w:rPr>
          <w:rFonts w:ascii="宋体" w:hAnsi="宋体"/>
          <w:sz w:val="24"/>
        </w:rPr>
      </w:pPr>
      <w:r>
        <w:rPr>
          <w:rFonts w:ascii="宋体" w:hAnsi="宋体"/>
          <w:sz w:val="24"/>
        </w:rPr>
        <w:t xml:space="preserve">法定代表人或授权代表：</w:t>
      </w:r>
      <w:r/>
    </w:p>
    <w:p>
      <w:pPr>
        <w:pStyle w:val="369"/>
        <w:ind w:right="26"/>
        <w:snapToGrid w:val="1"/>
        <w:spacing w:lineRule="auto" w:line="360"/>
        <w:rPr>
          <w:rFonts w:ascii="宋体" w:hAnsi="宋体"/>
          <w:b/>
          <w:sz w:val="24"/>
          <w:szCs w:val="28"/>
        </w:rPr>
      </w:pPr>
      <w:r>
        <w:rPr>
          <w:rFonts w:ascii="宋体" w:hAnsi="宋体"/>
          <w:b/>
          <w:sz w:val="24"/>
          <w:szCs w:val="28"/>
        </w:rPr>
      </w:r>
      <w:r/>
    </w:p>
    <w:p>
      <w:pPr>
        <w:pStyle w:val="369"/>
        <w:ind w:right="26"/>
        <w:snapToGrid w:val="1"/>
        <w:spacing w:lineRule="auto" w:line="360"/>
        <w:rPr>
          <w:rFonts w:ascii="宋体" w:hAnsi="宋体"/>
          <w:b/>
          <w:sz w:val="24"/>
          <w:szCs w:val="28"/>
        </w:rPr>
      </w:pPr>
      <w:r>
        <w:rPr>
          <w:rFonts w:ascii="宋体" w:hAnsi="宋体"/>
          <w:b/>
          <w:sz w:val="24"/>
          <w:szCs w:val="28"/>
        </w:rPr>
      </w:r>
      <w:r/>
    </w:p>
    <w:p>
      <w:pPr>
        <w:pStyle w:val="369"/>
        <w:ind w:right="26"/>
        <w:snapToGrid w:val="1"/>
        <w:spacing w:lineRule="auto" w:line="360"/>
        <w:rPr>
          <w:rFonts w:ascii="宋体" w:hAnsi="宋体"/>
          <w:b/>
          <w:sz w:val="24"/>
          <w:szCs w:val="28"/>
        </w:rPr>
      </w:pPr>
      <w:r>
        <w:rPr>
          <w:rFonts w:ascii="宋体" w:hAnsi="宋体"/>
          <w:b/>
          <w:sz w:val="24"/>
          <w:szCs w:val="28"/>
        </w:rPr>
      </w:r>
      <w:r/>
    </w:p>
    <w:p>
      <w:pPr>
        <w:pStyle w:val="369"/>
        <w:ind w:right="26"/>
        <w:snapToGrid w:val="1"/>
        <w:spacing w:lineRule="auto" w:line="360"/>
        <w:rPr>
          <w:rFonts w:ascii="宋体" w:hAnsi="宋体"/>
          <w:sz w:val="24"/>
          <w:szCs w:val="28"/>
        </w:rPr>
      </w:pPr>
      <w:r>
        <w:rPr>
          <w:rFonts w:ascii="宋体" w:hAnsi="宋体"/>
          <w:sz w:val="24"/>
          <w:szCs w:val="28"/>
        </w:rPr>
        <w:t xml:space="preserve">签订地点：</w:t>
      </w:r>
      <w:r>
        <w:rPr>
          <w:rFonts w:ascii="宋体" w:hAnsi="宋体"/>
          <w:sz w:val="24"/>
          <w:szCs w:val="28"/>
        </w:rPr>
      </w:r>
      <w:r/>
    </w:p>
    <w:p>
      <w:pPr>
        <w:pStyle w:val="369"/>
        <w:ind w:right="26"/>
        <w:snapToGrid w:val="1"/>
        <w:spacing w:lineRule="auto" w:line="360"/>
        <w:rPr>
          <w:rFonts w:ascii="宋体" w:hAnsi="宋体"/>
          <w:sz w:val="24"/>
          <w:szCs w:val="28"/>
        </w:rPr>
      </w:pPr>
      <w:r>
        <w:rPr>
          <w:rFonts w:ascii="宋体" w:hAnsi="宋体"/>
          <w:sz w:val="24"/>
          <w:szCs w:val="28"/>
        </w:rPr>
        <w:t xml:space="preserve">签订日：</w:t>
      </w:r>
      <w:r>
        <w:rPr>
          <w:rFonts w:ascii="宋体" w:hAnsi="宋体"/>
          <w:sz w:val="24"/>
        </w:rPr>
        <w:t xml:space="preserve">二〇</w:t>
      </w:r>
      <w:r>
        <w:rPr>
          <w:rFonts w:ascii="宋体" w:hAnsi="宋体"/>
          <w:sz w:val="24"/>
        </w:rPr>
        <w:t xml:space="preserve">  </w:t>
      </w:r>
      <w:r>
        <w:rPr>
          <w:rFonts w:ascii="宋体" w:hAnsi="宋体"/>
          <w:sz w:val="24"/>
        </w:rPr>
        <w:t xml:space="preserve">年</w:t>
      </w:r>
      <w:r>
        <w:rPr>
          <w:rFonts w:ascii="宋体" w:hAnsi="宋体"/>
          <w:sz w:val="24"/>
        </w:rPr>
        <w:t xml:space="preserve">  </w:t>
      </w:r>
      <w:r>
        <w:rPr>
          <w:rFonts w:ascii="宋体" w:hAnsi="宋体"/>
          <w:sz w:val="24"/>
        </w:rPr>
        <w:t xml:space="preserve">月</w:t>
      </w:r>
      <w:r>
        <w:rPr>
          <w:rFonts w:ascii="宋体" w:hAnsi="宋体"/>
          <w:sz w:val="24"/>
          <w:szCs w:val="28"/>
        </w:rPr>
      </w:r>
      <w:r/>
    </w:p>
    <w:p>
      <w:pPr>
        <w:pStyle w:val="369"/>
        <w:ind w:firstLine="420"/>
        <w:jc w:val="right"/>
        <w:snapToGrid w:val="1"/>
        <w:spacing w:lineRule="auto" w:line="360"/>
        <w:rPr>
          <w:rFonts w:ascii="宋体" w:hAnsi="宋体"/>
          <w:bCs/>
        </w:rPr>
      </w:pPr>
      <w:r>
        <w:rPr>
          <w:rFonts w:ascii="宋体" w:hAnsi="宋体"/>
          <w:bCs/>
        </w:rPr>
        <mc:AlternateContent>
          <mc:Choice Requires="wpg">
            <w:drawing>
              <wp:anchor xmlns:wp="http://schemas.openxmlformats.org/drawingml/2006/wordprocessingDrawing" distT="0" distB="0" distL="114300" distR="114300" simplePos="0" relativeHeight="524288" behindDoc="0" locked="0" layoutInCell="1" allowOverlap="1">
                <wp:simplePos x="0" y="0"/>
                <wp:positionH relativeFrom="column">
                  <wp:posOffset>2339975</wp:posOffset>
                </wp:positionH>
                <wp:positionV relativeFrom="paragraph">
                  <wp:posOffset>833755</wp:posOffset>
                </wp:positionV>
                <wp:extent cx="572135" cy="302260"/>
                <wp:effectExtent l="0" t="0" r="0" b="0"/>
                <wp:wrapNone/>
                <wp:docPr id="5" name="" hidden="false"/>
                <wp:cNvGraphicFramePr/>
                <a:graphic xmlns:a="http://schemas.openxmlformats.org/drawingml/2006/main">
                  <a:graphicData uri="http://schemas.microsoft.com/office/word/2010/wordprocessingShape">
                    <wps:wsp>
                      <wps:cNvSpPr/>
                      <wps:spPr bwMode="auto">
                        <a:xfrm>
                          <a:off x="0" y="0"/>
                          <a:ext cx="572135" cy="302260"/>
                        </a:xfrm>
                        <a:prstGeom prst="rect">
                          <a:avLst/>
                        </a:prstGeom>
                        <a:solidFill>
                          <a:srgbClr val="FFFFFF"/>
                        </a:solidFill>
                        <a:ln w="15875">
                          <a:noFill/>
                        </a:ln>
                      </wps:spPr>
                      <wps:bodyPr rot="0">
                        <a:prstTxWarp prst="textNoShape">
                          <a:avLst/>
                        </a:prstTxWarp>
                        <a:noAutofit/>
                      </wps:bodyPr>
                    </wps:wsp>
                  </a:graphicData>
                </a:graphic>
              </wp:anchor>
            </w:drawing>
          </mc:Choice>
          <mc:Fallback>
            <w:pict>
              <v:shape id="shape 4" o:spid="_x0000_s4" o:spt="1" style="position:absolute;mso-wrap-distance-left:9.0pt;mso-wrap-distance-top:0.0pt;mso-wrap-distance-right:9.0pt;mso-wrap-distance-bottom:0.0pt;z-index:524288;o:allowoverlap:true;o:allowincell:true;mso-position-horizontal-relative:text;margin-left:184.2pt;mso-position-horizontal:absolute;mso-position-vertical-relative:text;margin-top:65.6pt;mso-position-vertical:absolute;width:45.0pt;height:23.8pt;" coordsize="100000,100000" path="" fillcolor="#FFFFFF" strokeweight="1.25pt">
                <v:path textboxrect="0,0,0,0"/>
              </v:shape>
            </w:pict>
          </mc:Fallback>
        </mc:AlternateContent>
      </w:r>
      <w:r/>
    </w:p>
    <w:sectPr>
      <w:headerReference w:type="default" r:id="rId11"/>
      <w:footnotePr/>
      <w:type w:val="nextPage"/>
      <w:pgSz w:w="11906" w:h="16838" w:orient="portrait"/>
      <w:pgMar w:top="1440" w:right="1800" w:bottom="1440" w:left="1800" w:header="851" w:footer="992"/>
      <w:pgNumType w:start="1"/>
      <w:cols w:num="1" w:sep="0" w:space="720" w:equalWidth="1"/>
      <w:docGrid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10600030101010101"/>
  </w:font>
  <w:font w:name="Symbol">
    <w:panose1 w:val="05050102010706020507"/>
  </w:font>
  <w:font w:name="Wingdings">
    <w:panose1 w:val="05000000000000000000"/>
  </w:font>
  <w:font w:name="Courier New">
    <w:panose1 w:val="02070309020205020404"/>
  </w:font>
  <w:font w:name="仿宋_GB2312">
    <w:panose1 w:val="020B0803030604020204"/>
  </w:font>
  <w:font w:name="黑体">
    <w:panose1 w:val="02010609060101010101"/>
  </w:font>
  <w:font w:name="Cambria">
    <w:panose1 w:val="02040503050406030204"/>
  </w:font>
  <w:font w:name="Arial">
    <w:panose1 w:val="020B0604020202020204"/>
  </w:font>
  <w:font w:name="宋体">
    <w:panose1 w:val="02010600030101010101"/>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6"/>
      <w:jc w:val="center"/>
      <w:snapToGrid w:val="1"/>
    </w:pPr>
    <w:r>
      <w:fldChar w:fldCharType="begin"/>
    </w:r>
    <w:r>
      <w:instrText xml:space="preserve">PAGE   \* MERGEFORMAT</w:instrText>
    </w:r>
    <w:r>
      <w:fldChar w:fldCharType="separate"/>
    </w:r>
    <w:r>
      <w:rPr>
        <w:lang w:val="zh-CN"/>
      </w:rPr>
      <w:t xml:space="preserve">110</w:t>
    </w:r>
    <w: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6"/>
      <w:snapToGrid w:val="1"/>
      <w:pBdr>
        <w:between w:val="none" w:color="000000" w:sz="50" w:space="0"/>
      </w:pBdr>
    </w:pPr>
    <w:r/>
    <w:r/>
  </w:p>
  <w:p>
    <w:pPr>
      <w:pStyle w:val="396"/>
      <w:snapToGrid w:val="1"/>
      <w:pBdr>
        <w:between w:val="none" w:color="000000" w:sz="50" w:space="0"/>
      </w:pBdr>
    </w:pPr>
    <w:r/>
    <w:r/>
  </w:p>
  <w:p>
    <w:pPr>
      <w:pStyle w:val="396"/>
      <w:snapToGrid w:val="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napToGrid w:val="1"/>
        <w:spacing w:lineRule="auto" w:line="240" w:after="0"/>
      </w:pPr>
      <w:r/>
      <w:r>
        <w:separator/>
      </w:r>
      <w:r/>
    </w:p>
  </w:footnote>
  <w:footnote w:type="continuationSeparator" w:id="0">
    <w:p>
      <w:pPr>
        <w:snapToGrid w:val="1"/>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5"/>
      <w:jc w:val="both"/>
      <w:snapToGrid w:val="1"/>
      <w:tabs>
        <w:tab w:val="right" w:pos="8280" w:leader="none"/>
      </w:tabs>
      <w:pBdr>
        <w:bottom w:val="single" w:color="000000" w:sz="24" w:space="10"/>
      </w:pBdr>
    </w:pPr>
    <w:r>
      <w:rPr>
        <w:color w:val="000000"/>
      </w:rPr>
      <w:t xml:space="preserve">XXXX</w:t>
    </w:r>
    <w:r>
      <w:t xml:space="preserve">证券投资基金                             募集申请材料－基金合同（草案）</w:t>
    </w:r>
    <w:r>
      <mc:AlternateContent>
        <mc:Choice Requires="wpg">
          <w:drawing>
            <wp:anchor xmlns:wp="http://schemas.openxmlformats.org/drawingml/2006/wordprocessingDrawing" distT="0" distB="0" distL="115200" distR="115200" simplePos="0" relativeHeight="525312" behindDoc="1" locked="0" layoutInCell="1" allowOverlap="1">
              <wp:simplePos x="0" y="0"/>
              <wp:positionH relativeFrom="margin">
                <wp:align>center</wp:align>
              </wp:positionH>
              <wp:positionV relativeFrom="margin">
                <wp:align>center</wp:align>
              </wp:positionV>
              <wp:extent cx="5302805" cy="2381040"/>
              <wp:effectExtent l="0" t="0" r="0" b="0"/>
              <wp:wrapNone/>
              <wp:docPr id="1" name="" hidden="false"/>
              <wp:cNvGraphicFramePr/>
              <a:graphic xmlns:a="http://schemas.openxmlformats.org/drawingml/2006/main">
                <a:graphicData uri="http://schemas.microsoft.com/office/word/2010/wordprocessingShape">
                  <wps:wsp>
                    <wps:cNvSpPr/>
                    <wps:spPr bwMode="auto">
                      <a:xfrm rot="18900000">
                        <a:off x="0" y="0"/>
                        <a:ext cx="4222805" cy="2381039"/>
                      </a:xfrm>
                      <a:prstGeom prst="rect">
                        <a:avLst/>
                      </a:prstGeom>
                      <a:noFill/>
                      <a:ln>
                        <a:noFill/>
                      </a:ln>
                    </wps:spPr>
                    <wps:txbx>
                      <w:txbxContent>
                        <w:p>
                          <w:pPr>
                            <w:jc w:val="center"/>
                            <w:snapToGrid w:val="1"/>
                            <w:spacing w:lineRule="auto" w:line="240" w:after="0" w:before="0"/>
                            <w:rPr>
                              <w:rFonts w:ascii="SimSun" w:hAnsi="SimSun" w:cs="SimSun" w:eastAsia="SimSun" w:hint="default"/>
                              <w:b w:val="false"/>
                              <w:i w:val="false"/>
                              <w:strike w:val="false"/>
                              <w:sz w:val="327"/>
                              <w:u w:val="none"/>
                              <w14:textFill>
                                <w14:solidFill>
                                  <w14:srgbClr w14:val="C0C0C0">
                                    <w14:alpha w14:val="50000"/>
                                  </w14:srgbClr>
                                </w14:solidFill>
                              </w14:textFill>
                            </w:rPr>
                          </w:pPr>
                          <w:r>
                            <w:rPr>
                              <w:rFonts w:ascii="SimSun" w:hAnsi="SimSun" w:cs="SimSun" w:eastAsia="SimSun" w:hint="default"/>
                              <w:b w:val="false"/>
                              <w:i w:val="false"/>
                              <w:strike w:val="false"/>
                              <w:sz w:val="327"/>
                              <w:u w:val="none"/>
                              <w14:textFill>
                                <w14:solidFill>
                                  <w14:srgbClr w14:val="C0C0C0">
                                    <w14:alpha w14:val="50000"/>
                                  </w14:srgbClr>
                                </w14:solidFill>
                              </w14:textFill>
                            </w:rPr>
                            <w:t xml:space="preserve">商密</w:t>
                          </w:r>
                          <w:r>
                            <w:rPr>
                              <w:rFonts w:ascii="SimSun" w:hAnsi="SimSun" w:cs="SimSun" w:eastAsia="SimSun" w:hint="default"/>
                              <w:b w:val="false"/>
                              <w:i w:val="false"/>
                              <w:strike w:val="false"/>
                              <w:sz w:val="327"/>
                              <w:u w:val="none"/>
                              <w14:textFill>
                                <w14:solidFill>
                                  <w14:srgbClr w14:val="C0C0C0">
                                    <w14:alpha w14:val="50000"/>
                                  </w14:srgbClr>
                                </w14:solidFill>
                              </w14:textFill>
                            </w:rPr>
                          </w:r>
                        </w:p>
                      </w:txbxContent>
                    </wps:txbx>
                    <wps:bodyPr rot="0" spcFirstLastPara="0" vertOverflow="overflow" horzOverflow="clip" vert="horz" wrap="square" lIns="0" tIns="0" rIns="0" bIns="0" numCol="1" spcCol="0" rtlCol="0" fromWordArt="0" anchor="ctr" anchorCtr="0" forceAA="0" upright="0" compatLnSpc="1"/>
                  </wps:wsp>
                </a:graphicData>
              </a:graphic>
            </wp:anchor>
          </w:drawing>
        </mc:Choice>
        <mc:Fallback>
          <w:pict>
            <v:shape id="shape 0" o:spid="_x0000_s0" o:spt="1" style="position:absolute;mso-wrap-distance-left:9.1pt;mso-wrap-distance-top:0.0pt;mso-wrap-distance-right:9.1pt;mso-wrap-distance-bottom:0.0pt;z-index:-525312;o:allowoverlap:true;o:allowincell:true;mso-position-horizontal-relative:margin;mso-position-horizontal:center;mso-position-vertical-relative:margin;mso-position-vertical:center;width:417.5pt;height:187.5pt;rotation:315;v-text-anchor:middle;" coordsize="100000,100000" path="" filled="f">
              <v:path textboxrect="0,0,0,0"/>
              <v:textbox>
                <w:txbxContent>
                  <w:p>
                    <w:pPr>
                      <w:jc w:val="center"/>
                      <w:snapToGrid w:val="1"/>
                      <w:spacing w:lineRule="auto" w:line="240" w:after="0" w:before="0"/>
                      <w:rPr>
                        <w:rFonts w:ascii="SimSun" w:hAnsi="SimSun" w:cs="SimSun" w:eastAsia="SimSun" w:hint="default"/>
                        <w:b w:val="false"/>
                        <w:i w:val="false"/>
                        <w:strike w:val="false"/>
                        <w:sz w:val="327"/>
                        <w:u w:val="none"/>
                        <w14:textFill>
                          <w14:solidFill>
                            <w14:srgbClr w14:val="C0C0C0">
                              <w14:alpha w14:val="50000"/>
                            </w14:srgbClr>
                          </w14:solidFill>
                        </w14:textFill>
                      </w:rPr>
                    </w:pPr>
                    <w:r>
                      <w:rPr>
                        <w:rFonts w:ascii="SimSun" w:hAnsi="SimSun" w:cs="SimSun" w:eastAsia="SimSun" w:hint="default"/>
                        <w:b w:val="false"/>
                        <w:i w:val="false"/>
                        <w:strike w:val="false"/>
                        <w:sz w:val="327"/>
                        <w:u w:val="none"/>
                        <w14:textFill>
                          <w14:solidFill>
                            <w14:srgbClr w14:val="C0C0C0">
                              <w14:alpha w14:val="50000"/>
                            </w14:srgbClr>
                          </w14:solidFill>
                        </w14:textFill>
                      </w:rPr>
                      <w:t xml:space="preserve">商密</w:t>
                    </w:r>
                    <w:r>
                      <w:rPr>
                        <w:rFonts w:ascii="SimSun" w:hAnsi="SimSun" w:cs="SimSun" w:eastAsia="SimSun" w:hint="default"/>
                        <w:b w:val="false"/>
                        <w:i w:val="false"/>
                        <w:strike w:val="false"/>
                        <w:sz w:val="327"/>
                        <w:u w:val="none"/>
                        <w14:textFill>
                          <w14:solidFill>
                            <w14:srgbClr w14:val="C0C0C0">
                              <w14:alpha w14:val="50000"/>
                            </w14:srgbClr>
                          </w14:solidFill>
                        </w14:textFill>
                      </w:rPr>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5"/>
      <w:snapToGrid w:val="1"/>
      <w:pBdr>
        <w:bottom w:val="none" w:color="000000" w:sz="0" w:space="0"/>
      </w:pBdr>
    </w:pPr>
    <w:r/>
    <w:r>
      <mc:AlternateContent>
        <mc:Choice Requires="wpg">
          <w:drawing>
            <wp:anchor xmlns:wp="http://schemas.openxmlformats.org/drawingml/2006/wordprocessingDrawing" distT="0" distB="0" distL="115200" distR="115200" simplePos="0" relativeHeight="526336" behindDoc="1" locked="0" layoutInCell="1" allowOverlap="1">
              <wp:simplePos x="0" y="0"/>
              <wp:positionH relativeFrom="margin">
                <wp:align>center</wp:align>
              </wp:positionH>
              <wp:positionV relativeFrom="margin">
                <wp:align>center</wp:align>
              </wp:positionV>
              <wp:extent cx="5302805" cy="2381040"/>
              <wp:effectExtent l="0" t="0" r="0" b="0"/>
              <wp:wrapNone/>
              <wp:docPr id="2" name="" hidden="false"/>
              <wp:cNvGraphicFramePr/>
              <a:graphic xmlns:a="http://schemas.openxmlformats.org/drawingml/2006/main">
                <a:graphicData uri="http://schemas.microsoft.com/office/word/2010/wordprocessingShape">
                  <wps:wsp>
                    <wps:cNvSpPr/>
                    <wps:spPr bwMode="auto">
                      <a:xfrm rot="18900000">
                        <a:off x="0" y="0"/>
                        <a:ext cx="4222805" cy="2381039"/>
                      </a:xfrm>
                      <a:prstGeom prst="rect">
                        <a:avLst/>
                      </a:prstGeom>
                      <a:noFill/>
                      <a:ln>
                        <a:noFill/>
                      </a:ln>
                    </wps:spPr>
                    <wps:txbx>
                      <w:txbxContent>
                        <w:p>
                          <w:pPr>
                            <w:jc w:val="center"/>
                            <w:snapToGrid w:val="1"/>
                            <w:spacing w:lineRule="auto" w:line="240" w:after="0" w:before="0"/>
                            <w:rPr>
                              <w:rFonts w:ascii="SimSun" w:hAnsi="SimSun" w:cs="SimSun" w:eastAsia="SimSun" w:hint="default"/>
                              <w:b w:val="false"/>
                              <w:i w:val="false"/>
                              <w:strike w:val="false"/>
                              <w:sz w:val="327"/>
                              <w:u w:val="none"/>
                              <w14:textFill>
                                <w14:solidFill>
                                  <w14:srgbClr w14:val="C0C0C0">
                                    <w14:alpha w14:val="50000"/>
                                  </w14:srgbClr>
                                </w14:solidFill>
                              </w14:textFill>
                            </w:rPr>
                          </w:pPr>
                          <w:r>
                            <w:rPr>
                              <w:rFonts w:ascii="SimSun" w:hAnsi="SimSun" w:cs="SimSun" w:eastAsia="SimSun" w:hint="default"/>
                              <w:b w:val="false"/>
                              <w:i w:val="false"/>
                              <w:strike w:val="false"/>
                              <w:sz w:val="327"/>
                              <w:u w:val="none"/>
                              <w14:textFill>
                                <w14:solidFill>
                                  <w14:srgbClr w14:val="C0C0C0">
                                    <w14:alpha w14:val="50000"/>
                                  </w14:srgbClr>
                                </w14:solidFill>
                              </w14:textFill>
                            </w:rPr>
                            <w:t xml:space="preserve">商密</w:t>
                          </w:r>
                          <w:r>
                            <w:rPr>
                              <w:rFonts w:ascii="SimSun" w:hAnsi="SimSun" w:cs="SimSun" w:eastAsia="SimSun" w:hint="default"/>
                              <w:b w:val="false"/>
                              <w:i w:val="false"/>
                              <w:strike w:val="false"/>
                              <w:sz w:val="327"/>
                              <w:u w:val="none"/>
                              <w14:textFill>
                                <w14:solidFill>
                                  <w14:srgbClr w14:val="C0C0C0">
                                    <w14:alpha w14:val="50000"/>
                                  </w14:srgbClr>
                                </w14:solidFill>
                              </w14:textFill>
                            </w:rPr>
                          </w:r>
                        </w:p>
                      </w:txbxContent>
                    </wps:txbx>
                    <wps:bodyPr rot="0" spcFirstLastPara="0" vertOverflow="overflow" horzOverflow="clip" vert="horz" wrap="square" lIns="0" tIns="0" rIns="0" bIns="0" numCol="1" spcCol="0" rtlCol="0" fromWordArt="0" anchor="ctr" anchorCtr="0" forceAA="0" upright="0" compatLnSpc="1"/>
                  </wps:wsp>
                </a:graphicData>
              </a:graphic>
            </wp:anchor>
          </w:drawing>
        </mc:Choice>
        <mc:Fallback>
          <w:pict>
            <v:shape id="shape 1" o:spid="_x0000_s1" o:spt="1" style="position:absolute;mso-wrap-distance-left:9.1pt;mso-wrap-distance-top:0.0pt;mso-wrap-distance-right:9.1pt;mso-wrap-distance-bottom:0.0pt;z-index:-526336;o:allowoverlap:true;o:allowincell:true;mso-position-horizontal-relative:margin;mso-position-horizontal:center;mso-position-vertical-relative:margin;mso-position-vertical:center;width:417.5pt;height:187.5pt;rotation:315;v-text-anchor:middle;" coordsize="100000,100000" path="" filled="f">
              <v:path textboxrect="0,0,0,0"/>
              <v:textbox>
                <w:txbxContent>
                  <w:p>
                    <w:pPr>
                      <w:jc w:val="center"/>
                      <w:snapToGrid w:val="1"/>
                      <w:spacing w:lineRule="auto" w:line="240" w:after="0" w:before="0"/>
                      <w:rPr>
                        <w:rFonts w:ascii="SimSun" w:hAnsi="SimSun" w:cs="SimSun" w:eastAsia="SimSun" w:hint="default"/>
                        <w:b w:val="false"/>
                        <w:i w:val="false"/>
                        <w:strike w:val="false"/>
                        <w:sz w:val="327"/>
                        <w:u w:val="none"/>
                        <w14:textFill>
                          <w14:solidFill>
                            <w14:srgbClr w14:val="C0C0C0">
                              <w14:alpha w14:val="50000"/>
                            </w14:srgbClr>
                          </w14:solidFill>
                        </w14:textFill>
                      </w:rPr>
                    </w:pPr>
                    <w:r>
                      <w:rPr>
                        <w:rFonts w:ascii="SimSun" w:hAnsi="SimSun" w:cs="SimSun" w:eastAsia="SimSun" w:hint="default"/>
                        <w:b w:val="false"/>
                        <w:i w:val="false"/>
                        <w:strike w:val="false"/>
                        <w:sz w:val="327"/>
                        <w:u w:val="none"/>
                        <w14:textFill>
                          <w14:solidFill>
                            <w14:srgbClr w14:val="C0C0C0">
                              <w14:alpha w14:val="50000"/>
                            </w14:srgbClr>
                          </w14:solidFill>
                        </w14:textFill>
                      </w:rPr>
                      <w:t xml:space="preserve">商密</w:t>
                    </w:r>
                    <w:r>
                      <w:rPr>
                        <w:rFonts w:ascii="SimSun" w:hAnsi="SimSun" w:cs="SimSun" w:eastAsia="SimSun" w:hint="default"/>
                        <w:b w:val="false"/>
                        <w:i w:val="false"/>
                        <w:strike w:val="false"/>
                        <w:sz w:val="327"/>
                        <w:u w:val="none"/>
                        <w14:textFill>
                          <w14:solidFill>
                            <w14:srgbClr w14:val="C0C0C0">
                              <w14:alpha w14:val="50000"/>
                            </w14:srgbClr>
                          </w14:solidFill>
                        </w14:textFill>
                      </w:rPr>
                    </w:r>
                  </w:p>
                </w:txbxContent>
              </v:textbox>
            </v:shape>
          </w:pict>
        </mc:Fallback>
      </mc:AlternateConten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5"/>
      <w:jc w:val="both"/>
      <w:snapToGrid w:val="1"/>
      <w:tabs>
        <w:tab w:val="right" w:pos="8280" w:leader="none"/>
      </w:tabs>
      <w:pBdr>
        <w:bottom w:val="single" w:color="000000" w:sz="24" w:space="10"/>
      </w:pBdr>
    </w:pPr>
    <w:r>
      <w:rPr>
        <w:color w:val="000000"/>
      </w:rPr>
      <w:t xml:space="preserve">东海证券海盈3个月持有期混合型集合资产管理计划       </w:t>
    </w:r>
    <w:r>
      <w:rPr>
        <w:color w:val="000000"/>
      </w:rPr>
      <w:t xml:space="preserve">                </w:t>
    </w:r>
    <w:r>
      <w:rPr>
        <w:color w:val="000000"/>
      </w:rPr>
      <w:t xml:space="preserve">           </w:t>
    </w:r>
    <w:r>
      <w:t xml:space="preserve">集合计划合同</w:t>
    </w:r>
    <w:r>
      <mc:AlternateContent>
        <mc:Choice Requires="wpg">
          <w:drawing>
            <wp:anchor xmlns:wp="http://schemas.openxmlformats.org/drawingml/2006/wordprocessingDrawing" distT="0" distB="0" distL="115200" distR="115200" simplePos="0" relativeHeight="527360" behindDoc="1" locked="0" layoutInCell="1" allowOverlap="1">
              <wp:simplePos x="0" y="0"/>
              <wp:positionH relativeFrom="margin">
                <wp:align>center</wp:align>
              </wp:positionH>
              <wp:positionV relativeFrom="margin">
                <wp:align>center</wp:align>
              </wp:positionV>
              <wp:extent cx="5302805" cy="2381040"/>
              <wp:effectExtent l="0" t="0" r="0" b="0"/>
              <wp:wrapNone/>
              <wp:docPr id="3" name="" hidden="false"/>
              <wp:cNvGraphicFramePr/>
              <a:graphic xmlns:a="http://schemas.openxmlformats.org/drawingml/2006/main">
                <a:graphicData uri="http://schemas.microsoft.com/office/word/2010/wordprocessingShape">
                  <wps:wsp>
                    <wps:cNvSpPr/>
                    <wps:spPr bwMode="auto">
                      <a:xfrm rot="18900000">
                        <a:off x="0" y="0"/>
                        <a:ext cx="4222805" cy="2381039"/>
                      </a:xfrm>
                      <a:prstGeom prst="rect">
                        <a:avLst/>
                      </a:prstGeom>
                      <a:noFill/>
                      <a:ln>
                        <a:noFill/>
                      </a:ln>
                    </wps:spPr>
                    <wps:txbx>
                      <w:txbxContent>
                        <w:p>
                          <w:pPr>
                            <w:jc w:val="center"/>
                            <w:snapToGrid w:val="1"/>
                            <w:spacing w:lineRule="auto" w:line="240" w:after="0" w:before="0"/>
                            <w:rPr>
                              <w:rFonts w:ascii="SimSun" w:hAnsi="SimSun" w:cs="SimSun" w:eastAsia="SimSun" w:hint="default"/>
                              <w:b w:val="false"/>
                              <w:i w:val="false"/>
                              <w:strike w:val="false"/>
                              <w:sz w:val="327"/>
                              <w:u w:val="none"/>
                              <w14:textFill>
                                <w14:solidFill>
                                  <w14:srgbClr w14:val="C0C0C0">
                                    <w14:alpha w14:val="50000"/>
                                  </w14:srgbClr>
                                </w14:solidFill>
                              </w14:textFill>
                            </w:rPr>
                          </w:pPr>
                          <w:r>
                            <w:rPr>
                              <w:rFonts w:ascii="SimSun" w:hAnsi="SimSun" w:cs="SimSun" w:eastAsia="SimSun" w:hint="default"/>
                              <w:b w:val="false"/>
                              <w:i w:val="false"/>
                              <w:strike w:val="false"/>
                              <w:sz w:val="327"/>
                              <w:u w:val="none"/>
                              <w14:textFill>
                                <w14:solidFill>
                                  <w14:srgbClr w14:val="C0C0C0">
                                    <w14:alpha w14:val="50000"/>
                                  </w14:srgbClr>
                                </w14:solidFill>
                              </w14:textFill>
                            </w:rPr>
                            <w:t xml:space="preserve">商密</w:t>
                          </w:r>
                          <w:r>
                            <w:rPr>
                              <w:rFonts w:ascii="SimSun" w:hAnsi="SimSun" w:cs="SimSun" w:eastAsia="SimSun" w:hint="default"/>
                              <w:b w:val="false"/>
                              <w:i w:val="false"/>
                              <w:strike w:val="false"/>
                              <w:sz w:val="327"/>
                              <w:u w:val="none"/>
                              <w14:textFill>
                                <w14:solidFill>
                                  <w14:srgbClr w14:val="C0C0C0">
                                    <w14:alpha w14:val="50000"/>
                                  </w14:srgbClr>
                                </w14:solidFill>
                              </w14:textFill>
                            </w:rPr>
                          </w:r>
                        </w:p>
                      </w:txbxContent>
                    </wps:txbx>
                    <wps:bodyPr rot="0" spcFirstLastPara="0" vertOverflow="overflow" horzOverflow="clip" vert="horz" wrap="square" lIns="0" tIns="0" rIns="0" bIns="0" numCol="1" spcCol="0" rtlCol="0" fromWordArt="0" anchor="ctr" anchorCtr="0" forceAA="0" upright="0" compatLnSpc="1"/>
                  </wps:wsp>
                </a:graphicData>
              </a:graphic>
            </wp:anchor>
          </w:drawing>
        </mc:Choice>
        <mc:Fallback>
          <w:pict>
            <v:shape id="shape 2" o:spid="_x0000_s2" o:spt="1" style="position:absolute;mso-wrap-distance-left:9.1pt;mso-wrap-distance-top:0.0pt;mso-wrap-distance-right:9.1pt;mso-wrap-distance-bottom:0.0pt;z-index:-527360;o:allowoverlap:true;o:allowincell:true;mso-position-horizontal-relative:margin;mso-position-horizontal:center;mso-position-vertical-relative:margin;mso-position-vertical:center;width:417.5pt;height:187.5pt;rotation:315;v-text-anchor:middle;" coordsize="100000,100000" path="" filled="f">
              <v:path textboxrect="0,0,0,0"/>
              <v:textbox>
                <w:txbxContent>
                  <w:p>
                    <w:pPr>
                      <w:jc w:val="center"/>
                      <w:snapToGrid w:val="1"/>
                      <w:spacing w:lineRule="auto" w:line="240" w:after="0" w:before="0"/>
                      <w:rPr>
                        <w:rFonts w:ascii="SimSun" w:hAnsi="SimSun" w:cs="SimSun" w:eastAsia="SimSun" w:hint="default"/>
                        <w:b w:val="false"/>
                        <w:i w:val="false"/>
                        <w:strike w:val="false"/>
                        <w:sz w:val="327"/>
                        <w:u w:val="none"/>
                        <w14:textFill>
                          <w14:solidFill>
                            <w14:srgbClr w14:val="C0C0C0">
                              <w14:alpha w14:val="50000"/>
                            </w14:srgbClr>
                          </w14:solidFill>
                        </w14:textFill>
                      </w:rPr>
                    </w:pPr>
                    <w:r>
                      <w:rPr>
                        <w:rFonts w:ascii="SimSun" w:hAnsi="SimSun" w:cs="SimSun" w:eastAsia="SimSun" w:hint="default"/>
                        <w:b w:val="false"/>
                        <w:i w:val="false"/>
                        <w:strike w:val="false"/>
                        <w:sz w:val="327"/>
                        <w:u w:val="none"/>
                        <w14:textFill>
                          <w14:solidFill>
                            <w14:srgbClr w14:val="C0C0C0">
                              <w14:alpha w14:val="50000"/>
                            </w14:srgbClr>
                          </w14:solidFill>
                        </w14:textFill>
                      </w:rPr>
                      <w:t xml:space="preserve">商密</w:t>
                    </w:r>
                    <w:r>
                      <w:rPr>
                        <w:rFonts w:ascii="SimSun" w:hAnsi="SimSun" w:cs="SimSun" w:eastAsia="SimSun" w:hint="default"/>
                        <w:b w:val="false"/>
                        <w:i w:val="false"/>
                        <w:strike w:val="false"/>
                        <w:sz w:val="327"/>
                        <w:u w:val="none"/>
                        <w14:textFill>
                          <w14:solidFill>
                            <w14:srgbClr w14:val="C0C0C0">
                              <w14:alpha w14:val="50000"/>
                            </w14:srgbClr>
                          </w14:solidFill>
                        </w14:textFill>
                      </w:rPr>
                    </w:r>
                  </w:p>
                </w:txbxContent>
              </v:textbox>
            </v:shape>
          </w:pict>
        </mc:Fallback>
      </mc:AlternateContent>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5"/>
      <w:jc w:val="both"/>
      <w:snapToGrid w:val="1"/>
      <w:tabs>
        <w:tab w:val="right" w:pos="8280" w:leader="none"/>
      </w:tabs>
      <w:pBdr>
        <w:bottom w:val="single" w:color="000000" w:sz="24" w:space="10"/>
      </w:pBdr>
    </w:pPr>
    <w:r>
      <w:rPr>
        <w:color w:val="000000"/>
      </w:rPr>
      <w:t xml:space="preserve">东海证券海盈3个月持有期混合型集合资产管理计划       </w:t>
    </w:r>
    <w:r>
      <w:rPr>
        <w:color w:val="000000"/>
      </w:rPr>
      <w:t xml:space="preserve">                           </w:t>
    </w:r>
    <w:r>
      <w:t xml:space="preserve">资产管理</w:t>
    </w:r>
    <w:r>
      <w:t xml:space="preserve">合同</w:t>
    </w:r>
    <w:r>
      <mc:AlternateContent>
        <mc:Choice Requires="wpg">
          <w:drawing>
            <wp:anchor xmlns:wp="http://schemas.openxmlformats.org/drawingml/2006/wordprocessingDrawing" distT="0" distB="0" distL="115200" distR="115200" simplePos="0" relativeHeight="528384" behindDoc="1" locked="0" layoutInCell="1" allowOverlap="1">
              <wp:simplePos x="0" y="0"/>
              <wp:positionH relativeFrom="margin">
                <wp:align>center</wp:align>
              </wp:positionH>
              <wp:positionV relativeFrom="margin">
                <wp:align>center</wp:align>
              </wp:positionV>
              <wp:extent cx="5302805" cy="2381040"/>
              <wp:effectExtent l="0" t="0" r="0" b="0"/>
              <wp:wrapNone/>
              <wp:docPr id="4" name="" hidden="false"/>
              <wp:cNvGraphicFramePr/>
              <a:graphic xmlns:a="http://schemas.openxmlformats.org/drawingml/2006/main">
                <a:graphicData uri="http://schemas.microsoft.com/office/word/2010/wordprocessingShape">
                  <wps:wsp>
                    <wps:cNvSpPr/>
                    <wps:spPr bwMode="auto">
                      <a:xfrm rot="18900000">
                        <a:off x="0" y="0"/>
                        <a:ext cx="4222805" cy="2381039"/>
                      </a:xfrm>
                      <a:prstGeom prst="rect">
                        <a:avLst/>
                      </a:prstGeom>
                      <a:noFill/>
                      <a:ln>
                        <a:noFill/>
                      </a:ln>
                    </wps:spPr>
                    <wps:txbx>
                      <w:txbxContent>
                        <w:p>
                          <w:pPr>
                            <w:jc w:val="center"/>
                            <w:snapToGrid w:val="1"/>
                            <w:spacing w:lineRule="auto" w:line="240" w:after="0" w:before="0"/>
                            <w:rPr>
                              <w:rFonts w:ascii="SimSun" w:hAnsi="SimSun" w:cs="SimSun" w:eastAsia="SimSun" w:hint="default"/>
                              <w:b w:val="false"/>
                              <w:i w:val="false"/>
                              <w:strike w:val="false"/>
                              <w:sz w:val="327"/>
                              <w:u w:val="none"/>
                              <w14:textFill>
                                <w14:solidFill>
                                  <w14:srgbClr w14:val="C0C0C0">
                                    <w14:alpha w14:val="50000"/>
                                  </w14:srgbClr>
                                </w14:solidFill>
                              </w14:textFill>
                            </w:rPr>
                          </w:pPr>
                          <w:r>
                            <w:rPr>
                              <w:rFonts w:ascii="SimSun" w:hAnsi="SimSun" w:cs="SimSun" w:eastAsia="SimSun" w:hint="default"/>
                              <w:b w:val="false"/>
                              <w:i w:val="false"/>
                              <w:strike w:val="false"/>
                              <w:sz w:val="327"/>
                              <w:u w:val="none"/>
                              <w14:textFill>
                                <w14:solidFill>
                                  <w14:srgbClr w14:val="C0C0C0">
                                    <w14:alpha w14:val="50000"/>
                                  </w14:srgbClr>
                                </w14:solidFill>
                              </w14:textFill>
                            </w:rPr>
                            <w:t xml:space="preserve">商密</w:t>
                          </w:r>
                          <w:r>
                            <w:rPr>
                              <w:rFonts w:ascii="SimSun" w:hAnsi="SimSun" w:cs="SimSun" w:eastAsia="SimSun" w:hint="default"/>
                              <w:b w:val="false"/>
                              <w:i w:val="false"/>
                              <w:strike w:val="false"/>
                              <w:sz w:val="327"/>
                              <w:u w:val="none"/>
                              <w14:textFill>
                                <w14:solidFill>
                                  <w14:srgbClr w14:val="C0C0C0">
                                    <w14:alpha w14:val="50000"/>
                                  </w14:srgbClr>
                                </w14:solidFill>
                              </w14:textFill>
                            </w:rPr>
                          </w:r>
                        </w:p>
                      </w:txbxContent>
                    </wps:txbx>
                    <wps:bodyPr rot="0" spcFirstLastPara="0" vertOverflow="overflow" horzOverflow="clip" vert="horz" wrap="square" lIns="0" tIns="0" rIns="0" bIns="0" numCol="1" spcCol="0" rtlCol="0" fromWordArt="0" anchor="ctr" anchorCtr="0" forceAA="0" upright="0" compatLnSpc="1"/>
                  </wps:wsp>
                </a:graphicData>
              </a:graphic>
            </wp:anchor>
          </w:drawing>
        </mc:Choice>
        <mc:Fallback>
          <w:pict>
            <v:shape id="shape 3" o:spid="_x0000_s3" o:spt="1" style="position:absolute;mso-wrap-distance-left:9.1pt;mso-wrap-distance-top:0.0pt;mso-wrap-distance-right:9.1pt;mso-wrap-distance-bottom:0.0pt;z-index:-528384;o:allowoverlap:true;o:allowincell:true;mso-position-horizontal-relative:margin;mso-position-horizontal:center;mso-position-vertical-relative:margin;mso-position-vertical:center;width:417.5pt;height:187.5pt;rotation:315;v-text-anchor:middle;" coordsize="100000,100000" path="" filled="f">
              <v:path textboxrect="0,0,0,0"/>
              <v:textbox>
                <w:txbxContent>
                  <w:p>
                    <w:pPr>
                      <w:jc w:val="center"/>
                      <w:snapToGrid w:val="1"/>
                      <w:spacing w:lineRule="auto" w:line="240" w:after="0" w:before="0"/>
                      <w:rPr>
                        <w:rFonts w:ascii="SimSun" w:hAnsi="SimSun" w:cs="SimSun" w:eastAsia="SimSun" w:hint="default"/>
                        <w:b w:val="false"/>
                        <w:i w:val="false"/>
                        <w:strike w:val="false"/>
                        <w:sz w:val="327"/>
                        <w:u w:val="none"/>
                        <w14:textFill>
                          <w14:solidFill>
                            <w14:srgbClr w14:val="C0C0C0">
                              <w14:alpha w14:val="50000"/>
                            </w14:srgbClr>
                          </w14:solidFill>
                        </w14:textFill>
                      </w:rPr>
                    </w:pPr>
                    <w:r>
                      <w:rPr>
                        <w:rFonts w:ascii="SimSun" w:hAnsi="SimSun" w:cs="SimSun" w:eastAsia="SimSun" w:hint="default"/>
                        <w:b w:val="false"/>
                        <w:i w:val="false"/>
                        <w:strike w:val="false"/>
                        <w:sz w:val="327"/>
                        <w:u w:val="none"/>
                        <w14:textFill>
                          <w14:solidFill>
                            <w14:srgbClr w14:val="C0C0C0">
                              <w14:alpha w14:val="50000"/>
                            </w14:srgbClr>
                          </w14:solidFill>
                        </w14:textFill>
                      </w:rPr>
                      <w:t xml:space="preserve">商密</w:t>
                    </w:r>
                    <w:r>
                      <w:rPr>
                        <w:rFonts w:ascii="SimSun" w:hAnsi="SimSun" w:cs="SimSun" w:eastAsia="SimSun" w:hint="default"/>
                        <w:b w:val="false"/>
                        <w:i w:val="false"/>
                        <w:strike w:val="false"/>
                        <w:sz w:val="327"/>
                        <w:u w:val="none"/>
                        <w14:textFill>
                          <w14:solidFill>
                            <w14:srgbClr w14:val="C0C0C0">
                              <w14:alpha w14:val="50000"/>
                            </w14:srgbClr>
                          </w14:solidFill>
                        </w14:textFill>
                      </w:rPr>
                    </w:r>
                  </w:p>
                </w:txbxContent>
              </v:textbox>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412"/>
      <w:isLgl w:val="false"/>
      <w:suff w:val="tab"/>
      <w:lvlText w:val=""/>
      <w:lvlJc w:val="left"/>
      <w:pPr>
        <w:pStyle w:val="369"/>
        <w:ind w:left="360" w:hanging="360"/>
        <w:snapToGrid w:val="1"/>
        <w:tabs>
          <w:tab w:val="num" w:pos="360" w:leader="none"/>
        </w:tabs>
      </w:pPr>
      <w:rPr>
        <w:rFonts w:ascii="Symbol" w:hAnsi="Symbol"/>
        <w:color w:val="000000"/>
      </w:rPr>
    </w:lvl>
    <w:lvl w:ilvl="1">
      <w:start w:val="1"/>
      <w:numFmt w:val="bullet"/>
      <w:isLgl w:val="false"/>
      <w:suff w:val="tab"/>
      <w:lvlText w:val="o"/>
      <w:lvlJc w:val="left"/>
      <w:pPr>
        <w:ind w:left="1440" w:hanging="360"/>
        <w:snapToGrid w:val="1"/>
      </w:pPr>
      <w:rPr>
        <w:rFonts w:ascii="Courier New" w:hAnsi="Courier New" w:cs="Courier New" w:eastAsia="Courier New" w:hint="default"/>
      </w:rPr>
    </w:lvl>
    <w:lvl w:ilvl="2">
      <w:start w:val="1"/>
      <w:numFmt w:val="bullet"/>
      <w:isLgl w:val="false"/>
      <w:suff w:val="tab"/>
      <w:lvlText w:val="§"/>
      <w:lvlJc w:val="left"/>
      <w:pPr>
        <w:ind w:left="2160" w:hanging="360"/>
        <w:snapToGrid w:val="1"/>
      </w:pPr>
      <w:rPr>
        <w:rFonts w:ascii="Wingdings" w:hAnsi="Wingdings" w:cs="Wingdings" w:eastAsia="Wingdings" w:hint="default"/>
      </w:rPr>
    </w:lvl>
    <w:lvl w:ilvl="3">
      <w:start w:val="1"/>
      <w:numFmt w:val="bullet"/>
      <w:isLgl w:val="false"/>
      <w:suff w:val="tab"/>
      <w:lvlText w:val="·"/>
      <w:lvlJc w:val="left"/>
      <w:pPr>
        <w:ind w:left="2880" w:hanging="360"/>
        <w:snapToGrid w:val="1"/>
      </w:pPr>
      <w:rPr>
        <w:rFonts w:ascii="Symbol" w:hAnsi="Symbol" w:cs="Symbol" w:eastAsia="Symbol" w:hint="default"/>
      </w:rPr>
    </w:lvl>
    <w:lvl w:ilvl="4">
      <w:start w:val="1"/>
      <w:numFmt w:val="bullet"/>
      <w:isLgl w:val="false"/>
      <w:suff w:val="tab"/>
      <w:lvlText w:val="o"/>
      <w:lvlJc w:val="left"/>
      <w:pPr>
        <w:ind w:left="3600" w:hanging="360"/>
        <w:snapToGrid w:val="1"/>
      </w:pPr>
      <w:rPr>
        <w:rFonts w:ascii="Courier New" w:hAnsi="Courier New" w:cs="Courier New" w:eastAsia="Courier New" w:hint="default"/>
      </w:rPr>
    </w:lvl>
    <w:lvl w:ilvl="5">
      <w:start w:val="1"/>
      <w:numFmt w:val="bullet"/>
      <w:isLgl w:val="false"/>
      <w:suff w:val="tab"/>
      <w:lvlText w:val="§"/>
      <w:lvlJc w:val="left"/>
      <w:pPr>
        <w:ind w:left="4320" w:hanging="360"/>
        <w:snapToGrid w:val="1"/>
      </w:pPr>
      <w:rPr>
        <w:rFonts w:ascii="Wingdings" w:hAnsi="Wingdings" w:cs="Wingdings" w:eastAsia="Wingdings" w:hint="default"/>
      </w:rPr>
    </w:lvl>
    <w:lvl w:ilvl="6">
      <w:start w:val="1"/>
      <w:numFmt w:val="bullet"/>
      <w:isLgl w:val="false"/>
      <w:suff w:val="tab"/>
      <w:lvlText w:val="·"/>
      <w:lvlJc w:val="left"/>
      <w:pPr>
        <w:ind w:left="5040" w:hanging="360"/>
        <w:snapToGrid w:val="1"/>
      </w:pPr>
      <w:rPr>
        <w:rFonts w:ascii="Symbol" w:hAnsi="Symbol" w:cs="Symbol" w:eastAsia="Symbol" w:hint="default"/>
      </w:rPr>
    </w:lvl>
    <w:lvl w:ilvl="7">
      <w:start w:val="1"/>
      <w:numFmt w:val="bullet"/>
      <w:isLgl w:val="false"/>
      <w:suff w:val="tab"/>
      <w:lvlText w:val="o"/>
      <w:lvlJc w:val="left"/>
      <w:pPr>
        <w:ind w:left="5760" w:hanging="360"/>
        <w:snapToGrid w:val="1"/>
      </w:pPr>
      <w:rPr>
        <w:rFonts w:ascii="Courier New" w:hAnsi="Courier New" w:cs="Courier New" w:eastAsia="Courier New" w:hint="default"/>
      </w:rPr>
    </w:lvl>
    <w:lvl w:ilvl="8">
      <w:start w:val="1"/>
      <w:numFmt w:val="bullet"/>
      <w:isLgl w:val="false"/>
      <w:suff w:val="tab"/>
      <w:lvlText w:val="§"/>
      <w:lvlJc w:val="left"/>
      <w:pPr>
        <w:ind w:left="6480" w:hanging="360"/>
        <w:snapToGrid w:val="1"/>
      </w:pPr>
      <w:rPr>
        <w:rFonts w:ascii="Wingdings" w:hAnsi="Wingdings" w:cs="Wingdings" w:eastAsia="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420"/>
  <m:mathPr/>
  <w:trackRevisions w:val="false"/>
  <w:footnotePr>
    <w:footnote w:id="-1"/>
    <w:footnote w:id="0"/>
    <w:numFmt w:val="decimal"/>
    <w:numRestart w:val="continuous"/>
    <w:numStart w:val="1"/>
    <w:pos w:val="pageBottom"/>
  </w:footnotePr>
  <w:compat>
    <w:balanceSingleByteDoubleByteWidth w:val="true"/>
    <w:doNotLeaveBackslashAlone w:val="true"/>
    <w:ulTrailSpace w:val="true"/>
    <w:doNotExpandShiftReturn w:val="true"/>
    <w:cachedColBalan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宋体"/>
        <w:color w:val="auto"/>
        <w:spacing w:val="0"/>
        <w:position w:val="0"/>
        <w:w w:val="100"/>
        <w:sz w:val="20"/>
        <w:szCs w:val="22"/>
        <w:lang w:val="en-US" w:bidi="en-US" w:eastAsia="en-US"/>
      </w:rPr>
    </w:rPrDefault>
    <w:pPrDefault>
      <w:pPr>
        <w:snapToGrid w:val="1"/>
        <w:spacing w:lineRule="auto" w:line="240" w:after="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
    <w:next w:val="8"/>
    <w:link w:val="12"/>
    <w:qFormat/>
    <w:uiPriority w:val="9"/>
    <w:rPr>
      <w:rFonts w:ascii="Arial" w:hAnsi="Arial" w:cs="Arial" w:eastAsia="Arial"/>
      <w:sz w:val="40"/>
      <w:szCs w:val="40"/>
    </w:rPr>
    <w:pPr>
      <w:snapToGrid w:val="1"/>
      <w:keepLines/>
      <w:keepNext/>
      <w:spacing w:after="200" w:before="480"/>
      <w:outlineLvl w:val="0"/>
    </w:pPr>
  </w:style>
  <w:style w:type="character" w:styleId="12">
    <w:name w:val="Heading 1 Char"/>
    <w:basedOn w:val="9"/>
    <w:link w:val="11"/>
    <w:uiPriority w:val="9"/>
    <w:rPr>
      <w:rFonts w:ascii="Arial" w:hAnsi="Arial" w:cs="Arial" w:eastAsia="Arial"/>
      <w:sz w:val="40"/>
      <w:szCs w:val="40"/>
    </w:rPr>
    <w:pPr>
      <w:snapToGrid w:val="1"/>
    </w:pPr>
  </w:style>
  <w:style w:type="paragraph" w:styleId="13">
    <w:name w:val="Heading 2"/>
    <w:basedOn w:val="8"/>
    <w:next w:val="8"/>
    <w:link w:val="14"/>
    <w:qFormat/>
    <w:uiPriority w:val="9"/>
    <w:unhideWhenUsed/>
    <w:rPr>
      <w:rFonts w:ascii="Arial" w:hAnsi="Arial" w:cs="Arial" w:eastAsia="Arial"/>
      <w:sz w:val="34"/>
    </w:rPr>
    <w:pPr>
      <w:snapToGrid w:val="1"/>
      <w:keepLines/>
      <w:keepNext/>
      <w:spacing w:after="200" w:before="360"/>
      <w:outlineLvl w:val="1"/>
    </w:pPr>
  </w:style>
  <w:style w:type="character" w:styleId="14">
    <w:name w:val="Heading 2 Char"/>
    <w:basedOn w:val="9"/>
    <w:link w:val="13"/>
    <w:uiPriority w:val="9"/>
    <w:rPr>
      <w:rFonts w:ascii="Arial" w:hAnsi="Arial" w:cs="Arial" w:eastAsia="Arial"/>
      <w:sz w:val="34"/>
    </w:rPr>
    <w:pPr>
      <w:snapToGrid w:val="1"/>
    </w:pPr>
  </w:style>
  <w:style w:type="paragraph" w:styleId="15">
    <w:name w:val="Heading 3"/>
    <w:basedOn w:val="8"/>
    <w:next w:val="8"/>
    <w:link w:val="16"/>
    <w:qFormat/>
    <w:uiPriority w:val="9"/>
    <w:unhideWhenUsed/>
    <w:rPr>
      <w:rFonts w:ascii="Arial" w:hAnsi="Arial" w:cs="Arial" w:eastAsia="Arial"/>
      <w:sz w:val="30"/>
      <w:szCs w:val="30"/>
    </w:rPr>
    <w:pPr>
      <w:snapToGrid w:val="1"/>
      <w:keepLines/>
      <w:keepNext/>
      <w:spacing w:after="200" w:before="320"/>
      <w:outlineLvl w:val="2"/>
    </w:pPr>
  </w:style>
  <w:style w:type="character" w:styleId="16">
    <w:name w:val="Heading 3 Char"/>
    <w:basedOn w:val="9"/>
    <w:link w:val="15"/>
    <w:uiPriority w:val="9"/>
    <w:rPr>
      <w:rFonts w:ascii="Arial" w:hAnsi="Arial" w:cs="Arial" w:eastAsia="Arial"/>
      <w:sz w:val="30"/>
      <w:szCs w:val="30"/>
    </w:rPr>
    <w:pPr>
      <w:snapToGrid w:val="1"/>
    </w:pPr>
  </w:style>
  <w:style w:type="paragraph" w:styleId="17">
    <w:name w:val="Heading 4"/>
    <w:basedOn w:val="8"/>
    <w:next w:val="8"/>
    <w:link w:val="18"/>
    <w:qFormat/>
    <w:uiPriority w:val="9"/>
    <w:unhideWhenUsed/>
    <w:rPr>
      <w:rFonts w:ascii="Arial" w:hAnsi="Arial" w:cs="Arial" w:eastAsia="Arial"/>
      <w:b/>
      <w:bCs/>
      <w:sz w:val="26"/>
      <w:szCs w:val="26"/>
    </w:rPr>
    <w:pPr>
      <w:snapToGrid w:val="1"/>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pPr>
      <w:snapToGrid w:val="1"/>
    </w:pPr>
  </w:style>
  <w:style w:type="paragraph" w:styleId="19">
    <w:name w:val="Heading 5"/>
    <w:basedOn w:val="8"/>
    <w:next w:val="8"/>
    <w:link w:val="20"/>
    <w:qFormat/>
    <w:uiPriority w:val="9"/>
    <w:unhideWhenUsed/>
    <w:rPr>
      <w:rFonts w:ascii="Arial" w:hAnsi="Arial" w:cs="Arial" w:eastAsia="Arial"/>
      <w:b/>
      <w:bCs/>
      <w:sz w:val="24"/>
      <w:szCs w:val="24"/>
    </w:rPr>
    <w:pPr>
      <w:snapToGrid w:val="1"/>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pPr>
      <w:snapToGrid w:val="1"/>
    </w:pPr>
  </w:style>
  <w:style w:type="paragraph" w:styleId="21">
    <w:name w:val="Heading 6"/>
    <w:basedOn w:val="8"/>
    <w:next w:val="8"/>
    <w:link w:val="22"/>
    <w:qFormat/>
    <w:uiPriority w:val="9"/>
    <w:unhideWhenUsed/>
    <w:rPr>
      <w:rFonts w:ascii="Arial" w:hAnsi="Arial" w:cs="Arial" w:eastAsia="Arial"/>
      <w:b/>
      <w:bCs/>
      <w:sz w:val="22"/>
      <w:szCs w:val="22"/>
    </w:rPr>
    <w:pPr>
      <w:snapToGrid w:val="1"/>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pPr>
      <w:snapToGrid w:val="1"/>
    </w:pPr>
  </w:style>
  <w:style w:type="paragraph" w:styleId="23">
    <w:name w:val="Heading 7"/>
    <w:basedOn w:val="8"/>
    <w:next w:val="8"/>
    <w:link w:val="24"/>
    <w:qFormat/>
    <w:uiPriority w:val="9"/>
    <w:unhideWhenUsed/>
    <w:rPr>
      <w:rFonts w:ascii="Arial" w:hAnsi="Arial" w:cs="Arial" w:eastAsia="Arial"/>
      <w:b/>
      <w:bCs/>
      <w:i/>
      <w:iCs/>
      <w:sz w:val="22"/>
      <w:szCs w:val="22"/>
    </w:rPr>
    <w:pPr>
      <w:snapToGrid w:val="1"/>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pPr>
      <w:snapToGrid w:val="1"/>
    </w:pPr>
  </w:style>
  <w:style w:type="paragraph" w:styleId="25">
    <w:name w:val="Heading 8"/>
    <w:basedOn w:val="8"/>
    <w:next w:val="8"/>
    <w:link w:val="26"/>
    <w:qFormat/>
    <w:uiPriority w:val="9"/>
    <w:unhideWhenUsed/>
    <w:rPr>
      <w:rFonts w:ascii="Arial" w:hAnsi="Arial" w:cs="Arial" w:eastAsia="Arial"/>
      <w:i/>
      <w:iCs/>
      <w:sz w:val="22"/>
      <w:szCs w:val="22"/>
    </w:rPr>
    <w:pPr>
      <w:snapToGrid w:val="1"/>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pPr>
      <w:snapToGrid w:val="1"/>
    </w:pPr>
  </w:style>
  <w:style w:type="paragraph" w:styleId="27">
    <w:name w:val="Heading 9"/>
    <w:basedOn w:val="8"/>
    <w:next w:val="8"/>
    <w:link w:val="28"/>
    <w:qFormat/>
    <w:uiPriority w:val="9"/>
    <w:unhideWhenUsed/>
    <w:rPr>
      <w:rFonts w:ascii="Arial" w:hAnsi="Arial" w:cs="Arial" w:eastAsia="Arial"/>
      <w:i/>
      <w:iCs/>
      <w:sz w:val="21"/>
      <w:szCs w:val="21"/>
    </w:rPr>
    <w:pPr>
      <w:snapToGrid w:val="1"/>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pPr>
      <w:snapToGrid w:val="1"/>
    </w:pPr>
  </w:style>
  <w:style w:type="paragraph" w:styleId="29">
    <w:name w:val="List Paragraph"/>
    <w:basedOn w:val="8"/>
    <w:qFormat/>
    <w:uiPriority w:val="34"/>
    <w:pPr>
      <w:contextualSpacing w:val="true"/>
      <w:ind w:left="720"/>
      <w:snapToGrid w:val="1"/>
    </w:pPr>
  </w:style>
  <w:style w:type="paragraph" w:styleId="31">
    <w:name w:val="No Spacing"/>
    <w:qFormat/>
    <w:uiPriority w:val="1"/>
    <w:pPr>
      <w:snapToGrid w:val="1"/>
      <w:spacing w:lineRule="auto" w:line="240" w:after="0" w:before="0"/>
    </w:pPr>
  </w:style>
  <w:style w:type="paragraph" w:styleId="32">
    <w:name w:val="Title"/>
    <w:basedOn w:val="8"/>
    <w:next w:val="8"/>
    <w:link w:val="33"/>
    <w:qFormat/>
    <w:uiPriority w:val="10"/>
    <w:rPr>
      <w:sz w:val="48"/>
      <w:szCs w:val="48"/>
    </w:rPr>
    <w:pPr>
      <w:contextualSpacing w:val="true"/>
      <w:snapToGrid w:val="1"/>
      <w:spacing w:after="200" w:before="300"/>
    </w:pPr>
  </w:style>
  <w:style w:type="character" w:styleId="33">
    <w:name w:val="Title Char"/>
    <w:basedOn w:val="9"/>
    <w:link w:val="32"/>
    <w:uiPriority w:val="10"/>
    <w:rPr>
      <w:sz w:val="48"/>
      <w:szCs w:val="48"/>
    </w:rPr>
    <w:pPr>
      <w:snapToGrid w:val="1"/>
    </w:pPr>
  </w:style>
  <w:style w:type="paragraph" w:styleId="34">
    <w:name w:val="Subtitle"/>
    <w:basedOn w:val="8"/>
    <w:next w:val="8"/>
    <w:link w:val="35"/>
    <w:qFormat/>
    <w:uiPriority w:val="11"/>
    <w:rPr>
      <w:sz w:val="24"/>
      <w:szCs w:val="24"/>
    </w:rPr>
    <w:pPr>
      <w:snapToGrid w:val="1"/>
      <w:spacing w:after="200" w:before="200"/>
    </w:pPr>
  </w:style>
  <w:style w:type="character" w:styleId="35">
    <w:name w:val="Subtitle Char"/>
    <w:basedOn w:val="9"/>
    <w:link w:val="34"/>
    <w:uiPriority w:val="11"/>
    <w:rPr>
      <w:sz w:val="24"/>
      <w:szCs w:val="24"/>
    </w:rPr>
    <w:pPr>
      <w:snapToGrid w:val="1"/>
    </w:pPr>
  </w:style>
  <w:style w:type="paragraph" w:styleId="36">
    <w:name w:val="Quote"/>
    <w:basedOn w:val="8"/>
    <w:next w:val="8"/>
    <w:link w:val="37"/>
    <w:qFormat/>
    <w:uiPriority w:val="29"/>
    <w:rPr>
      <w:i/>
    </w:rPr>
    <w:pPr>
      <w:ind w:left="720" w:right="720"/>
      <w:snapToGrid w:val="1"/>
    </w:pPr>
  </w:style>
  <w:style w:type="character" w:styleId="37">
    <w:name w:val="Quote Char"/>
    <w:link w:val="36"/>
    <w:uiPriority w:val="29"/>
    <w:rPr>
      <w:i/>
    </w:rPr>
    <w:pPr>
      <w:snapToGrid w:val="1"/>
    </w:pPr>
  </w:style>
  <w:style w:type="paragraph" w:styleId="38">
    <w:name w:val="Intense Quote"/>
    <w:basedOn w:val="8"/>
    <w:next w:val="8"/>
    <w:link w:val="39"/>
    <w:qFormat/>
    <w:uiPriority w:val="30"/>
    <w:rPr>
      <w:i/>
    </w:rPr>
    <w:pPr>
      <w:contextualSpacing w:val="false"/>
      <w:ind w:left="720" w:right="720"/>
      <w:snapToGrid w:val="1"/>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pPr>
      <w:snapToGrid w:val="1"/>
    </w:pPr>
  </w:style>
  <w:style w:type="paragraph" w:styleId="40">
    <w:name w:val="Header"/>
    <w:basedOn w:val="8"/>
    <w:link w:val="41"/>
    <w:uiPriority w:val="99"/>
    <w:unhideWhenUsed/>
    <w:pPr>
      <w:snapToGrid w:val="1"/>
      <w:spacing w:lineRule="auto" w:line="240" w:after="0"/>
      <w:tabs>
        <w:tab w:val="center" w:pos="7143" w:leader="none"/>
        <w:tab w:val="right" w:pos="14287" w:leader="none"/>
      </w:tabs>
    </w:pPr>
  </w:style>
  <w:style w:type="character" w:styleId="41">
    <w:name w:val="Header Char"/>
    <w:basedOn w:val="9"/>
    <w:link w:val="40"/>
    <w:uiPriority w:val="99"/>
    <w:pPr>
      <w:snapToGrid w:val="1"/>
    </w:pPr>
  </w:style>
  <w:style w:type="paragraph" w:styleId="42">
    <w:name w:val="Footer"/>
    <w:basedOn w:val="8"/>
    <w:link w:val="43"/>
    <w:uiPriority w:val="99"/>
    <w:unhideWhenUsed/>
    <w:pPr>
      <w:snapToGrid w:val="1"/>
      <w:spacing w:lineRule="auto" w:line="240" w:after="0"/>
      <w:tabs>
        <w:tab w:val="center" w:pos="7143" w:leader="none"/>
        <w:tab w:val="right" w:pos="14287" w:leader="none"/>
      </w:tabs>
    </w:pPr>
  </w:style>
  <w:style w:type="character" w:styleId="43">
    <w:name w:val="Footer Char"/>
    <w:basedOn w:val="9"/>
    <w:link w:val="42"/>
    <w:uiPriority w:val="99"/>
    <w:pPr>
      <w:snapToGrid w:val="1"/>
    </w:pPr>
  </w:style>
  <w:style w:type="table" w:styleId="44">
    <w:name w:val="Table Grid"/>
    <w:basedOn w:val="30"/>
    <w:uiPriority w:val="59"/>
    <w:pPr>
      <w:snapToGrid w:val="1"/>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tblStylePr w:type="band1Horz">
      <w:pPr>
        <w:snapToGrid w:val="1"/>
      </w:pPr>
    </w:tblStylePr>
    <w:tblStylePr w:type="band1Vert">
      <w:pPr>
        <w:snapToGrid w:val="1"/>
      </w:pPr>
    </w:tblStylePr>
    <w:tblStylePr w:type="band2Horz">
      <w:pPr>
        <w:snapToGrid w:val="1"/>
      </w:pPr>
    </w:tblStylePr>
    <w:tblStylePr w:type="band2Vert">
      <w:pPr>
        <w:snapToGrid w:val="1"/>
      </w:pPr>
    </w:tblStylePr>
    <w:tblStylePr w:type="firstCol">
      <w:pPr>
        <w:snapToGrid w:val="1"/>
      </w:pPr>
    </w:tblStylePr>
    <w:tblStylePr w:type="firstRow">
      <w:pPr>
        <w:snapToGrid w:val="1"/>
      </w:pPr>
    </w:tblStylePr>
    <w:tblStylePr w:type="lastCol">
      <w:pPr>
        <w:snapToGrid w:val="1"/>
      </w:pPr>
    </w:tblStylePr>
    <w:tblStylePr w:type="lastRow">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45">
    <w:name w:val="Table Grid Light"/>
    <w:basedOn w:val="30"/>
    <w:uiPriority w:val="59"/>
    <w:pPr>
      <w:snapToGrid w:val="1"/>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pPr>
        <w:snapToGrid w:val="1"/>
      </w:pPr>
    </w:tblStylePr>
    <w:tblStylePr w:type="band1Vert">
      <w:pPr>
        <w:snapToGrid w:val="1"/>
      </w:pPr>
    </w:tblStylePr>
    <w:tblStylePr w:type="band2Horz">
      <w:pPr>
        <w:snapToGrid w:val="1"/>
      </w:pPr>
    </w:tblStylePr>
    <w:tblStylePr w:type="band2Vert">
      <w:pPr>
        <w:snapToGrid w:val="1"/>
      </w:pPr>
    </w:tblStylePr>
    <w:tblStylePr w:type="firstCol">
      <w:pPr>
        <w:snapToGrid w:val="1"/>
      </w:pPr>
    </w:tblStylePr>
    <w:tblStylePr w:type="firstRow">
      <w:pPr>
        <w:snapToGrid w:val="1"/>
      </w:pPr>
    </w:tblStylePr>
    <w:tblStylePr w:type="lastCol">
      <w:pPr>
        <w:snapToGrid w:val="1"/>
      </w:pPr>
    </w:tblStylePr>
    <w:tblStylePr w:type="lastRow">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46">
    <w:name w:val="Plain Table 1"/>
    <w:basedOn w:val="30"/>
    <w:uiPriority w:val="59"/>
    <w:pPr>
      <w:snapToGrid w:val="1"/>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pPr>
        <w:snapToGrid w:val="1"/>
      </w:pPr>
      <w:tcPr>
        <w:shd w:val="clear" w:color="auto" w:fill="FFFFFF" w:themeFill="text1" w:themeFillTint="0D"/>
      </w:tcPr>
    </w:tblStylePr>
    <w:tblStylePr w:type="band1Vert">
      <w:pPr>
        <w:snapToGrid w:val="1"/>
      </w:pPr>
      <w:tcPr>
        <w:shd w:val="clear" w:color="auto" w:fill="FFFFFF" w:themeFill="text1" w:themeFillTint="0D"/>
      </w:tcPr>
    </w:tblStylePr>
    <w:tblStylePr w:type="band2Horz">
      <w:pPr>
        <w:snapToGrid w:val="1"/>
      </w:pPr>
    </w:tblStylePr>
    <w:tblStylePr w:type="band2Vert">
      <w:pPr>
        <w:snapToGrid w:val="1"/>
      </w:pPr>
    </w:tblStylePr>
    <w:tblStylePr w:type="firstCol">
      <w:rPr>
        <w:rFonts w:ascii="Arial" w:hAnsi="Arial"/>
        <w:b/>
        <w:color w:val="404040"/>
        <w:sz w:val="22"/>
      </w:rPr>
      <w:pPr>
        <w:snapToGrid w:val="1"/>
      </w:pPr>
    </w:tblStylePr>
    <w:tblStylePr w:type="firstRow">
      <w:rPr>
        <w:rFonts w:ascii="Arial" w:hAnsi="Arial"/>
        <w:b/>
        <w:color w:val="404040"/>
        <w:sz w:val="22"/>
      </w:rPr>
      <w:pPr>
        <w:snapToGrid w:val="1"/>
      </w:pPr>
    </w:tblStylePr>
    <w:tblStylePr w:type="lastCol">
      <w:rPr>
        <w:rFonts w:ascii="Arial" w:hAnsi="Arial"/>
        <w:b/>
        <w:color w:val="404040"/>
        <w:sz w:val="22"/>
      </w:rPr>
      <w:pPr>
        <w:snapToGrid w:val="1"/>
      </w:pPr>
    </w:tblStylePr>
    <w:tblStylePr w:type="lastRow">
      <w:rPr>
        <w:rFonts w:ascii="Arial" w:hAnsi="Arial"/>
        <w:b/>
        <w:color w:val="404040"/>
        <w:sz w:val="22"/>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47">
    <w:name w:val="Plain Table 2"/>
    <w:basedOn w:val="30"/>
    <w:uiPriority w:val="59"/>
    <w:pPr>
      <w:snapToGrid w:val="1"/>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pPr>
        <w:snapToGrid w:val="1"/>
      </w:pPr>
      <w:tcPr>
        <w:tcBorders>
          <w:top w:val="single" w:color="000000" w:sz="4" w:space="0" w:themeColor="text1"/>
          <w:bottom w:val="single" w:color="000000" w:sz="4" w:space="0" w:themeColor="text1"/>
        </w:tcBorders>
      </w:tcPr>
    </w:tblStylePr>
    <w:tblStylePr w:type="band1Vert">
      <w:pPr>
        <w:snapToGrid w:val="1"/>
      </w:pPr>
      <w:tcPr>
        <w:tcBorders>
          <w:left w:val="single" w:color="000000" w:sz="4" w:space="0" w:themeColor="text1"/>
          <w:right w:val="single" w:color="000000" w:sz="4" w:space="0" w:themeColor="text1"/>
        </w:tcBorders>
      </w:tcPr>
    </w:tblStylePr>
    <w:tblStylePr w:type="band2Horz">
      <w:pPr>
        <w:snapToGrid w:val="1"/>
      </w:pPr>
    </w:tblStylePr>
    <w:tblStylePr w:type="band2Vert">
      <w:pPr>
        <w:snapToGrid w:val="1"/>
      </w:pPr>
      <w:tcPr>
        <w:tcBorders>
          <w:left w:val="single" w:color="000000" w:sz="4" w:space="0" w:themeColor="text1"/>
          <w:right w:val="single" w:color="000000" w:sz="4" w:space="0" w:themeColor="text1"/>
        </w:tcBorders>
      </w:tcPr>
    </w:tblStylePr>
    <w:tblStylePr w:type="firstCol">
      <w:rPr>
        <w:rFonts w:ascii="Arial" w:hAnsi="Arial"/>
        <w:b/>
        <w:color w:val="404040"/>
        <w:sz w:val="22"/>
      </w:rPr>
      <w:pPr>
        <w:snapToGrid w:val="1"/>
      </w:pPr>
    </w:tblStylePr>
    <w:tblStylePr w:type="firstRow">
      <w:rPr>
        <w:rFonts w:ascii="Arial" w:hAnsi="Arial"/>
        <w:b/>
        <w:color w:val="404040"/>
        <w:sz w:val="22"/>
      </w:rPr>
      <w:pPr>
        <w:snapToGrid w:val="1"/>
      </w:pPr>
      <w:tcPr>
        <w:tcBorders>
          <w:top w:val="single" w:color="000000" w:sz="4" w:space="0" w:themeColor="text1"/>
          <w:bottom w:val="single" w:color="000000" w:sz="4" w:space="0" w:themeColor="text1"/>
        </w:tcBorders>
      </w:tcPr>
    </w:tblStylePr>
    <w:tblStylePr w:type="lastCol">
      <w:rPr>
        <w:rFonts w:ascii="Arial" w:hAnsi="Arial"/>
        <w:b/>
        <w:color w:val="404040"/>
        <w:sz w:val="22"/>
      </w:rPr>
      <w:pPr>
        <w:snapToGrid w:val="1"/>
      </w:pPr>
    </w:tblStylePr>
    <w:tblStylePr w:type="lastRow">
      <w:rPr>
        <w:rFonts w:ascii="Arial" w:hAnsi="Arial"/>
        <w:b/>
        <w:color w:val="404040"/>
        <w:sz w:val="22"/>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48">
    <w:name w:val="Plain Table 3"/>
    <w:basedOn w:val="30"/>
    <w:uiPriority w:val="99"/>
    <w:pPr>
      <w:snapToGrid w:val="1"/>
      <w:spacing w:lineRule="auto" w:line="240" w:after="0"/>
    </w:pPr>
    <w:tblPr>
      <w:tblStyleRowBandSize w:val="1"/>
      <w:tblStyleColBandSize w:val="1"/>
      <w:tblInd w:w="0" w:type="dxa"/>
    </w:tblPr>
    <w:tblStylePr w:type="band1Horz">
      <w:rPr>
        <w:rFonts w:ascii="Arial" w:hAnsi="Arial"/>
        <w:color w:val="404040"/>
        <w:sz w:val="22"/>
      </w:rPr>
      <w:pPr>
        <w:snapToGrid w:val="1"/>
      </w:pPr>
      <w:tcPr>
        <w:shd w:val="clear" w:color="auto" w:fill="FFFFFF" w:themeFill="text1" w:themeFillTint="0D"/>
      </w:tcPr>
    </w:tblStylePr>
    <w:tblStylePr w:type="band1Vert">
      <w:rPr>
        <w:rFonts w:ascii="Arial" w:hAnsi="Arial"/>
        <w:color w:val="404040"/>
        <w:sz w:val="22"/>
      </w:rPr>
      <w:pPr>
        <w:snapToGrid w:val="1"/>
      </w:pPr>
      <w:tcPr>
        <w:shd w:val="clear" w:color="auto" w:fill="FFFFFF" w:themeFill="text1" w:themeFillTint="0D"/>
      </w:tcPr>
    </w:tblStylePr>
    <w:tblStylePr w:type="band2Horz">
      <w:pPr>
        <w:snapToGrid w:val="1"/>
      </w:pPr>
    </w:tblStylePr>
    <w:tblStylePr w:type="band2Vert">
      <w:pPr>
        <w:snapToGrid w:val="1"/>
      </w:pPr>
    </w:tblStylePr>
    <w:tblStylePr w:type="firstCol">
      <w:rPr>
        <w:b/>
        <w:caps/>
        <w:color w:val="404040"/>
      </w:rPr>
      <w:pPr>
        <w:snapToGrid w:val="1"/>
      </w:p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pPr>
        <w:snapToGrid w:val="1"/>
      </w:p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pPr>
        <w:snapToGrid w:val="1"/>
      </w:pPr>
    </w:tblStylePr>
    <w:tblStylePr w:type="lastRow">
      <w:rPr>
        <w:b/>
        <w:caps/>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49">
    <w:name w:val="Plain Table 4"/>
    <w:basedOn w:val="30"/>
    <w:uiPriority w:val="99"/>
    <w:pPr>
      <w:snapToGrid w:val="1"/>
      <w:spacing w:lineRule="auto" w:line="240" w:after="0"/>
    </w:pPr>
    <w:tblPr>
      <w:tblStyleRowBandSize w:val="1"/>
      <w:tblStyleColBandSize w:val="1"/>
      <w:tblInd w:w="0" w:type="dxa"/>
    </w:tblPr>
    <w:tblStylePr w:type="band1Horz">
      <w:rPr>
        <w:rFonts w:ascii="Arial" w:hAnsi="Arial"/>
        <w:color w:val="404040"/>
        <w:sz w:val="22"/>
      </w:rPr>
      <w:pPr>
        <w:snapToGrid w:val="1"/>
      </w:pPr>
      <w:tcPr>
        <w:shd w:val="clear" w:color="auto" w:fill="FFFFFF" w:themeFill="text1" w:themeFillTint="0D"/>
      </w:tcPr>
    </w:tblStylePr>
    <w:tblStylePr w:type="band1Vert">
      <w:rPr>
        <w:rFonts w:ascii="Arial" w:hAnsi="Arial"/>
        <w:color w:val="404040"/>
        <w:sz w:val="22"/>
      </w:rPr>
      <w:pPr>
        <w:snapToGrid w:val="1"/>
      </w:pPr>
      <w:tcPr>
        <w:shd w:val="clear" w:color="auto" w:fill="FFFFFF" w:themeFill="text1" w:themeFillTint="0D"/>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50">
    <w:name w:val="Plain Table 5"/>
    <w:basedOn w:val="30"/>
    <w:uiPriority w:val="99"/>
    <w:pPr>
      <w:snapToGrid w:val="1"/>
      <w:spacing w:lineRule="auto" w:line="240" w:after="0"/>
    </w:pPr>
    <w:tblPr>
      <w:tblStyleRowBandSize w:val="1"/>
      <w:tblStyleColBandSize w:val="1"/>
      <w:tblInd w:w="0" w:type="dxa"/>
    </w:tblPr>
    <w:tblStylePr w:type="band1Horz">
      <w:rPr>
        <w:rFonts w:ascii="Arial" w:hAnsi="Arial"/>
        <w:color w:val="404040"/>
        <w:sz w:val="22"/>
      </w:rPr>
      <w:pPr>
        <w:snapToGrid w:val="1"/>
      </w:pPr>
      <w:tcPr>
        <w:shd w:val="clear" w:color="auto" w:fill="FFFFFF" w:themeFill="text1" w:themeFillTint="0D"/>
      </w:tcPr>
    </w:tblStylePr>
    <w:tblStylePr w:type="band1Vert">
      <w:rPr>
        <w:rFonts w:ascii="Arial" w:hAnsi="Arial"/>
        <w:color w:val="404040"/>
        <w:sz w:val="22"/>
      </w:rPr>
      <w:pPr>
        <w:snapToGrid w:val="1"/>
      </w:pPr>
      <w:tcPr>
        <w:shd w:val="clear" w:color="auto" w:fill="FFFFFF" w:themeFill="text1" w:themeFillTint="0D"/>
      </w:tcPr>
    </w:tblStylePr>
    <w:tblStylePr w:type="band2Horz">
      <w:pPr>
        <w:snapToGrid w:val="1"/>
      </w:pPr>
    </w:tblStylePr>
    <w:tblStylePr w:type="band2Vert">
      <w:pPr>
        <w:snapToGrid w:val="1"/>
      </w:pPr>
    </w:tblStylePr>
    <w:tblStylePr w:type="firstCol">
      <w:rPr>
        <w:i/>
        <w:color w:val="404040"/>
      </w:rPr>
      <w:pPr>
        <w:jc w:val="right"/>
        <w:snapToGrid w:val="1"/>
      </w:pPr>
      <w:tcPr>
        <w:shd w:val="clear" w:color="auto" w:fill="FFFFFF"/>
        <w:tcBorders>
          <w:right w:val="single" w:color="404040" w:sz="4" w:space="0"/>
        </w:tcBorders>
      </w:tcPr>
    </w:tblStylePr>
    <w:tblStylePr w:type="firstRow">
      <w:rPr>
        <w:i/>
        <w:color w:val="404040"/>
      </w:rPr>
      <w:pPr>
        <w:snapToGrid w:val="1"/>
      </w:pPr>
      <w:tcPr>
        <w:shd w:val="clear" w:color="auto" w:fill="FFFFFF"/>
        <w:tcBorders>
          <w:left w:val="none" w:color="000000" w:sz="4" w:space="0"/>
          <w:right w:val="none" w:color="000000" w:sz="4" w:space="0"/>
          <w:bottom w:val="single" w:color="404040" w:sz="4" w:space="0"/>
        </w:tcBorders>
      </w:tcPr>
    </w:tblStylePr>
    <w:tblStylePr w:type="lastCol">
      <w:rPr>
        <w:i/>
        <w:color w:val="404040"/>
      </w:rPr>
      <w:pPr>
        <w:snapToGrid w:val="1"/>
      </w:pPr>
      <w:tcPr>
        <w:shd w:val="clear" w:color="auto" w:fill="FFFFFF"/>
        <w:tcBorders>
          <w:left w:val="single" w:color="404040" w:sz="4" w:space="0"/>
        </w:tcBorders>
      </w:tcPr>
    </w:tblStylePr>
    <w:tblStylePr w:type="lastRow">
      <w:rPr>
        <w:i/>
        <w:color w:val="404040"/>
      </w:rPr>
      <w:pPr>
        <w:snapToGrid w:val="1"/>
      </w:pPr>
      <w:tcPr>
        <w:shd w:val="clear" w:color="auto" w:fill="FFFFFF"/>
        <w:tcBorders>
          <w:left w:val="none" w:color="000000" w:sz="4" w:space="0"/>
          <w:top w:val="single" w:color="404040" w:sz="4" w:space="0"/>
          <w:right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51">
    <w:name w:val="Grid Table 1 Light"/>
    <w:basedOn w:val="30"/>
    <w:uiPriority w:val="99"/>
    <w:pPr>
      <w:snapToGrid w:val="1"/>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pPr>
        <w:snapToGrid w:val="1"/>
      </w:p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band1Vert">
      <w:pPr>
        <w:snapToGrid w:val="1"/>
      </w:p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bottom w:val="single" w:color="000000" w:sz="12" w:space="0" w:themeColor="text1" w:themeTint="95"/>
        </w:tcBorders>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52">
    <w:name w:val="Grid Table 1 Light - Accent 1"/>
    <w:basedOn w:val="30"/>
    <w:uiPriority w:val="99"/>
    <w:pPr>
      <w:snapToGrid w:val="1"/>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pPr>
        <w:snapToGrid w:val="1"/>
      </w:p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band1Vert">
      <w:pPr>
        <w:snapToGrid w:val="1"/>
      </w:p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bottom w:val="single" w:color="000000" w:sz="12" w:space="0" w:themeColor="accent1" w:themeTint="95"/>
        </w:tcBorders>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53">
    <w:name w:val="Grid Table 1 Light - Accent 2"/>
    <w:basedOn w:val="30"/>
    <w:uiPriority w:val="99"/>
    <w:pPr>
      <w:snapToGrid w:val="1"/>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pPr>
        <w:snapToGrid w:val="1"/>
      </w:p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band1Vert">
      <w:pPr>
        <w:snapToGrid w:val="1"/>
      </w:p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bottom w:val="single" w:color="000000" w:sz="12" w:space="0" w:themeColor="accent2" w:themeTint="95"/>
        </w:tcBorders>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54">
    <w:name w:val="Grid Table 1 Light - Accent 3"/>
    <w:basedOn w:val="30"/>
    <w:uiPriority w:val="99"/>
    <w:pPr>
      <w:snapToGrid w:val="1"/>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pPr>
        <w:snapToGrid w:val="1"/>
      </w:p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band1Vert">
      <w:pPr>
        <w:snapToGrid w:val="1"/>
      </w:p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bottom w:val="single" w:color="000000" w:sz="12" w:space="0" w:themeColor="accent3" w:themeTint="95"/>
        </w:tcBorders>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55">
    <w:name w:val="Grid Table 1 Light - Accent 4"/>
    <w:basedOn w:val="30"/>
    <w:uiPriority w:val="99"/>
    <w:pPr>
      <w:snapToGrid w:val="1"/>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pPr>
        <w:snapToGrid w:val="1"/>
      </w:p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band1Vert">
      <w:pPr>
        <w:snapToGrid w:val="1"/>
      </w:p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bottom w:val="single" w:color="000000" w:sz="12" w:space="0" w:themeColor="accent4" w:themeTint="95"/>
        </w:tcBorders>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56">
    <w:name w:val="Grid Table 1 Light - Accent 5"/>
    <w:basedOn w:val="30"/>
    <w:uiPriority w:val="99"/>
    <w:pPr>
      <w:snapToGrid w:val="1"/>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pPr>
        <w:snapToGrid w:val="1"/>
      </w:p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band1Vert">
      <w:pPr>
        <w:snapToGrid w:val="1"/>
      </w:p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bottom w:val="single" w:color="000000" w:sz="12" w:space="0" w:themeColor="accent5" w:themeTint="95"/>
        </w:tcBorders>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57">
    <w:name w:val="Grid Table 1 Light - Accent 6"/>
    <w:basedOn w:val="30"/>
    <w:uiPriority w:val="99"/>
    <w:pPr>
      <w:snapToGrid w:val="1"/>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pPr>
        <w:snapToGrid w:val="1"/>
      </w:p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band1Vert">
      <w:pPr>
        <w:snapToGrid w:val="1"/>
      </w:p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bottom w:val="single" w:color="000000" w:sz="12" w:space="0" w:themeColor="accent6" w:themeTint="95"/>
        </w:tcBorders>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58">
    <w:name w:val="Grid Table 2"/>
    <w:basedOn w:val="30"/>
    <w:uiPriority w:val="99"/>
    <w:pPr>
      <w:snapToGrid w:val="1"/>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pPr>
        <w:snapToGrid w:val="1"/>
      </w:pPr>
      <w:tcPr>
        <w:shd w:val="clear" w:color="auto" w:fill="FFFFFF" w:themeFill="text1" w:themeFillTint="34"/>
      </w:tcPr>
    </w:tblStylePr>
    <w:tblStylePr w:type="band1Vert">
      <w:rPr>
        <w:rFonts w:ascii="Arial" w:hAnsi="Arial"/>
        <w:color w:val="404040"/>
        <w:sz w:val="22"/>
      </w:rPr>
      <w:pPr>
        <w:snapToGrid w:val="1"/>
      </w:pPr>
      <w:tcPr>
        <w:shd w:val="clear" w:color="auto" w:fill="FFFFFF" w:themeFill="text1"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pPr>
        <w:snapToGrid w:val="1"/>
      </w:pPr>
    </w:tblStylePr>
    <w:tblStylePr w:type="lastRow">
      <w:rPr>
        <w:b/>
        <w:color w:val="404040"/>
      </w:rPr>
      <w:pPr>
        <w:snapToGrid w:val="1"/>
      </w:p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59">
    <w:name w:val="Grid Table 2 - Accent 1"/>
    <w:basedOn w:val="30"/>
    <w:uiPriority w:val="99"/>
    <w:pPr>
      <w:snapToGrid w:val="1"/>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pPr>
        <w:snapToGrid w:val="1"/>
      </w:pPr>
      <w:tcPr>
        <w:shd w:val="clear" w:color="auto" w:fill="FFFFFF" w:themeFill="accent1" w:themeFillTint="34"/>
      </w:tcPr>
    </w:tblStylePr>
    <w:tblStylePr w:type="band1Vert">
      <w:rPr>
        <w:rFonts w:ascii="Arial" w:hAnsi="Arial"/>
        <w:color w:val="404040"/>
        <w:sz w:val="22"/>
      </w:rPr>
      <w:pPr>
        <w:snapToGrid w:val="1"/>
      </w:pPr>
      <w:tcPr>
        <w:shd w:val="clear" w:color="auto" w:fill="FFFFFF" w:themeFill="accent1"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pPr>
        <w:snapToGrid w:val="1"/>
      </w:pPr>
    </w:tblStylePr>
    <w:tblStylePr w:type="lastRow">
      <w:rPr>
        <w:b/>
        <w:color w:val="404040"/>
      </w:rPr>
      <w:pPr>
        <w:snapToGrid w:val="1"/>
      </w:p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60">
    <w:name w:val="Grid Table 2 - Accent 2"/>
    <w:basedOn w:val="30"/>
    <w:uiPriority w:val="99"/>
    <w:pPr>
      <w:snapToGrid w:val="1"/>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pPr>
        <w:snapToGrid w:val="1"/>
      </w:pPr>
      <w:tcPr>
        <w:shd w:val="clear" w:color="auto" w:fill="FFFFFF" w:themeFill="accent2" w:themeFillTint="32"/>
      </w:tcPr>
    </w:tblStylePr>
    <w:tblStylePr w:type="band1Vert">
      <w:rPr>
        <w:rFonts w:ascii="Arial" w:hAnsi="Arial"/>
        <w:color w:val="404040"/>
        <w:sz w:val="22"/>
      </w:rPr>
      <w:pPr>
        <w:snapToGrid w:val="1"/>
      </w:pPr>
      <w:tcPr>
        <w:shd w:val="clear" w:color="auto" w:fill="FFFFFF" w:themeFill="accent2" w:themeFillTint="32"/>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pPr>
        <w:snapToGrid w:val="1"/>
      </w:pPr>
    </w:tblStylePr>
    <w:tblStylePr w:type="lastRow">
      <w:rPr>
        <w:b/>
        <w:color w:val="404040"/>
      </w:rPr>
      <w:pPr>
        <w:snapToGrid w:val="1"/>
      </w:p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61">
    <w:name w:val="Grid Table 2 - Accent 3"/>
    <w:basedOn w:val="30"/>
    <w:uiPriority w:val="99"/>
    <w:pPr>
      <w:snapToGrid w:val="1"/>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pPr>
        <w:snapToGrid w:val="1"/>
      </w:pPr>
      <w:tcPr>
        <w:shd w:val="clear" w:color="auto" w:fill="FFFFFF" w:themeFill="accent3" w:themeFillTint="34"/>
      </w:tcPr>
    </w:tblStylePr>
    <w:tblStylePr w:type="band1Vert">
      <w:rPr>
        <w:rFonts w:ascii="Arial" w:hAnsi="Arial"/>
        <w:color w:val="404040"/>
        <w:sz w:val="22"/>
      </w:rPr>
      <w:pPr>
        <w:snapToGrid w:val="1"/>
      </w:pPr>
      <w:tcPr>
        <w:shd w:val="clear" w:color="auto" w:fill="FFFFFF" w:themeFill="accent3"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pPr>
        <w:snapToGrid w:val="1"/>
      </w:pPr>
    </w:tblStylePr>
    <w:tblStylePr w:type="lastRow">
      <w:rPr>
        <w:b/>
        <w:color w:val="404040"/>
      </w:rPr>
      <w:pPr>
        <w:snapToGrid w:val="1"/>
      </w:p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62">
    <w:name w:val="Grid Table 2 - Accent 4"/>
    <w:basedOn w:val="30"/>
    <w:uiPriority w:val="99"/>
    <w:pPr>
      <w:snapToGrid w:val="1"/>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pPr>
        <w:snapToGrid w:val="1"/>
      </w:pPr>
      <w:tcPr>
        <w:shd w:val="clear" w:color="auto" w:fill="FFFFFF" w:themeFill="accent4" w:themeFillTint="34"/>
      </w:tcPr>
    </w:tblStylePr>
    <w:tblStylePr w:type="band1Vert">
      <w:rPr>
        <w:rFonts w:ascii="Arial" w:hAnsi="Arial"/>
        <w:color w:val="404040"/>
        <w:sz w:val="22"/>
      </w:rPr>
      <w:pPr>
        <w:snapToGrid w:val="1"/>
      </w:pPr>
      <w:tcPr>
        <w:shd w:val="clear" w:color="auto" w:fill="FFFFFF" w:themeFill="accent4"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pPr>
        <w:snapToGrid w:val="1"/>
      </w:pPr>
    </w:tblStylePr>
    <w:tblStylePr w:type="lastRow">
      <w:rPr>
        <w:b/>
        <w:color w:val="404040"/>
      </w:rPr>
      <w:pPr>
        <w:snapToGrid w:val="1"/>
      </w:p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63">
    <w:name w:val="Grid Table 2 - Accent 5"/>
    <w:basedOn w:val="30"/>
    <w:uiPriority w:val="99"/>
    <w:pPr>
      <w:snapToGrid w:val="1"/>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pPr>
        <w:snapToGrid w:val="1"/>
      </w:pPr>
      <w:tcPr>
        <w:shd w:val="clear" w:color="auto" w:fill="FFFFFF" w:themeFill="accent5" w:themeFillTint="34"/>
      </w:tcPr>
    </w:tblStylePr>
    <w:tblStylePr w:type="band1Vert">
      <w:rPr>
        <w:rFonts w:ascii="Arial" w:hAnsi="Arial"/>
        <w:color w:val="404040"/>
        <w:sz w:val="22"/>
      </w:rPr>
      <w:pPr>
        <w:snapToGrid w:val="1"/>
      </w:pPr>
      <w:tcPr>
        <w:shd w:val="clear" w:color="auto" w:fill="FFFFFF" w:themeFill="accent5"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pPr>
        <w:snapToGrid w:val="1"/>
      </w:pPr>
    </w:tblStylePr>
    <w:tblStylePr w:type="lastRow">
      <w:rPr>
        <w:b/>
        <w:color w:val="404040"/>
      </w:rPr>
      <w:pPr>
        <w:snapToGrid w:val="1"/>
      </w:pPr>
      <w:tcPr>
        <w:shd w:val="clear" w:color="auto" w:fill="FFFFFF"/>
        <w:tcBorders>
          <w:left w:val="none" w:color="000000" w:sz="4" w:space="0"/>
          <w:top w:val="single" w:color="000000" w:sz="4" w:space="0" w:themeColor="accent5"/>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64">
    <w:name w:val="Grid Table 2 - Accent 6"/>
    <w:basedOn w:val="30"/>
    <w:uiPriority w:val="99"/>
    <w:pPr>
      <w:snapToGrid w:val="1"/>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pPr>
        <w:snapToGrid w:val="1"/>
      </w:pPr>
      <w:tcPr>
        <w:shd w:val="clear" w:color="auto" w:fill="FFFFFF" w:themeFill="accent6" w:themeFillTint="34"/>
      </w:tcPr>
    </w:tblStylePr>
    <w:tblStylePr w:type="band1Vert">
      <w:rPr>
        <w:rFonts w:ascii="Arial" w:hAnsi="Arial"/>
        <w:color w:val="404040"/>
        <w:sz w:val="22"/>
      </w:rPr>
      <w:pPr>
        <w:snapToGrid w:val="1"/>
      </w:pPr>
      <w:tcPr>
        <w:shd w:val="clear" w:color="auto" w:fill="FFFFFF" w:themeFill="accent6"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pPr>
        <w:snapToGrid w:val="1"/>
      </w:pPr>
    </w:tblStylePr>
    <w:tblStylePr w:type="lastRow">
      <w:rPr>
        <w:b/>
        <w:color w:val="404040"/>
      </w:rPr>
      <w:pPr>
        <w:snapToGrid w:val="1"/>
      </w:pPr>
      <w:tcPr>
        <w:shd w:val="clear" w:color="auto" w:fill="FFFFFF"/>
        <w:tcBorders>
          <w:left w:val="none" w:color="000000" w:sz="4" w:space="0"/>
          <w:top w:val="single" w:color="000000" w:sz="4" w:space="0" w:themeColor="accent6"/>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65">
    <w:name w:val="Grid Table 3"/>
    <w:basedOn w:val="30"/>
    <w:uiPriority w:val="99"/>
    <w:pPr>
      <w:snapToGrid w:val="1"/>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pPr>
        <w:snapToGrid w:val="1"/>
      </w:pPr>
      <w:tcPr>
        <w:shd w:val="clear" w:color="auto" w:fill="FFFFFF" w:themeFill="text1" w:themeFillTint="34"/>
      </w:tcPr>
    </w:tblStylePr>
    <w:tblStylePr w:type="band1Vert">
      <w:rPr>
        <w:rFonts w:ascii="Arial" w:hAnsi="Arial"/>
        <w:color w:val="404040"/>
        <w:sz w:val="22"/>
      </w:rPr>
      <w:pPr>
        <w:snapToGrid w:val="1"/>
      </w:pPr>
      <w:tcPr>
        <w:shd w:val="clear" w:color="auto" w:fill="FFFFFF" w:themeFill="text1" w:themeFillTint="34"/>
      </w:tcPr>
    </w:tblStylePr>
    <w:tblStylePr w:type="band2Horz">
      <w:pPr>
        <w:snapToGrid w:val="1"/>
      </w:pPr>
    </w:tblStylePr>
    <w:tblStylePr w:type="band2Vert">
      <w:pPr>
        <w:snapToGrid w:val="1"/>
      </w:pPr>
    </w:tblStylePr>
    <w:tblStylePr w:type="firstCol">
      <w:rPr>
        <w:i/>
        <w:color w:val="404040"/>
      </w:rPr>
      <w:pPr>
        <w:jc w:val="right"/>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pPr>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66">
    <w:name w:val="Grid Table 3 - Accent 1"/>
    <w:basedOn w:val="30"/>
    <w:uiPriority w:val="99"/>
    <w:pPr>
      <w:snapToGrid w:val="1"/>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pPr>
        <w:snapToGrid w:val="1"/>
      </w:pPr>
      <w:tcPr>
        <w:shd w:val="clear" w:color="auto" w:fill="FFFFFF" w:themeFill="accent1" w:themeFillTint="34"/>
      </w:tcPr>
    </w:tblStylePr>
    <w:tblStylePr w:type="band1Vert">
      <w:rPr>
        <w:rFonts w:ascii="Arial" w:hAnsi="Arial"/>
        <w:color w:val="404040"/>
        <w:sz w:val="22"/>
      </w:rPr>
      <w:pPr>
        <w:snapToGrid w:val="1"/>
      </w:pPr>
      <w:tcPr>
        <w:shd w:val="clear" w:color="auto" w:fill="FFFFFF" w:themeFill="accent1" w:themeFillTint="34"/>
      </w:tcPr>
    </w:tblStylePr>
    <w:tblStylePr w:type="band2Horz">
      <w:pPr>
        <w:snapToGrid w:val="1"/>
      </w:pPr>
    </w:tblStylePr>
    <w:tblStylePr w:type="band2Vert">
      <w:pPr>
        <w:snapToGrid w:val="1"/>
      </w:pPr>
    </w:tblStylePr>
    <w:tblStylePr w:type="firstCol">
      <w:rPr>
        <w:i/>
        <w:color w:val="404040"/>
      </w:rPr>
      <w:pPr>
        <w:jc w:val="right"/>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pPr>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67">
    <w:name w:val="Grid Table 3 - Accent 2"/>
    <w:basedOn w:val="30"/>
    <w:uiPriority w:val="99"/>
    <w:pPr>
      <w:snapToGrid w:val="1"/>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pPr>
        <w:snapToGrid w:val="1"/>
      </w:pPr>
      <w:tcPr>
        <w:shd w:val="clear" w:color="auto" w:fill="FFFFFF" w:themeFill="accent2" w:themeFillTint="32"/>
      </w:tcPr>
    </w:tblStylePr>
    <w:tblStylePr w:type="band1Vert">
      <w:rPr>
        <w:rFonts w:ascii="Arial" w:hAnsi="Arial"/>
        <w:color w:val="404040"/>
        <w:sz w:val="22"/>
      </w:rPr>
      <w:pPr>
        <w:snapToGrid w:val="1"/>
      </w:pPr>
      <w:tcPr>
        <w:shd w:val="clear" w:color="auto" w:fill="FFFFFF" w:themeFill="accent2" w:themeFillTint="32"/>
      </w:tcPr>
    </w:tblStylePr>
    <w:tblStylePr w:type="band2Horz">
      <w:pPr>
        <w:snapToGrid w:val="1"/>
      </w:pPr>
    </w:tblStylePr>
    <w:tblStylePr w:type="band2Vert">
      <w:pPr>
        <w:snapToGrid w:val="1"/>
      </w:pPr>
    </w:tblStylePr>
    <w:tblStylePr w:type="firstCol">
      <w:rPr>
        <w:i/>
        <w:color w:val="404040"/>
      </w:rPr>
      <w:pPr>
        <w:jc w:val="right"/>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pPr>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68">
    <w:name w:val="Grid Table 3 - Accent 3"/>
    <w:basedOn w:val="30"/>
    <w:uiPriority w:val="99"/>
    <w:pPr>
      <w:snapToGrid w:val="1"/>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pPr>
        <w:snapToGrid w:val="1"/>
      </w:pPr>
      <w:tcPr>
        <w:shd w:val="clear" w:color="auto" w:fill="FFFFFF" w:themeFill="accent3" w:themeFillTint="34"/>
      </w:tcPr>
    </w:tblStylePr>
    <w:tblStylePr w:type="band1Vert">
      <w:rPr>
        <w:rFonts w:ascii="Arial" w:hAnsi="Arial"/>
        <w:color w:val="404040"/>
        <w:sz w:val="22"/>
      </w:rPr>
      <w:pPr>
        <w:snapToGrid w:val="1"/>
      </w:pPr>
      <w:tcPr>
        <w:shd w:val="clear" w:color="auto" w:fill="FFFFFF" w:themeFill="accent3" w:themeFillTint="34"/>
      </w:tcPr>
    </w:tblStylePr>
    <w:tblStylePr w:type="band2Horz">
      <w:pPr>
        <w:snapToGrid w:val="1"/>
      </w:pPr>
    </w:tblStylePr>
    <w:tblStylePr w:type="band2Vert">
      <w:pPr>
        <w:snapToGrid w:val="1"/>
      </w:pPr>
    </w:tblStylePr>
    <w:tblStylePr w:type="firstCol">
      <w:rPr>
        <w:i/>
        <w:color w:val="404040"/>
      </w:rPr>
      <w:pPr>
        <w:jc w:val="right"/>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pPr>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69">
    <w:name w:val="Grid Table 3 - Accent 4"/>
    <w:basedOn w:val="30"/>
    <w:uiPriority w:val="99"/>
    <w:pPr>
      <w:snapToGrid w:val="1"/>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pPr>
        <w:snapToGrid w:val="1"/>
      </w:pPr>
      <w:tcPr>
        <w:shd w:val="clear" w:color="auto" w:fill="FFFFFF" w:themeFill="accent4" w:themeFillTint="34"/>
      </w:tcPr>
    </w:tblStylePr>
    <w:tblStylePr w:type="band1Vert">
      <w:rPr>
        <w:rFonts w:ascii="Arial" w:hAnsi="Arial"/>
        <w:color w:val="404040"/>
        <w:sz w:val="22"/>
      </w:rPr>
      <w:pPr>
        <w:snapToGrid w:val="1"/>
      </w:pPr>
      <w:tcPr>
        <w:shd w:val="clear" w:color="auto" w:fill="FFFFFF" w:themeFill="accent4" w:themeFillTint="34"/>
      </w:tcPr>
    </w:tblStylePr>
    <w:tblStylePr w:type="band2Horz">
      <w:pPr>
        <w:snapToGrid w:val="1"/>
      </w:pPr>
    </w:tblStylePr>
    <w:tblStylePr w:type="band2Vert">
      <w:pPr>
        <w:snapToGrid w:val="1"/>
      </w:pPr>
    </w:tblStylePr>
    <w:tblStylePr w:type="firstCol">
      <w:rPr>
        <w:i/>
        <w:color w:val="404040"/>
      </w:rPr>
      <w:pPr>
        <w:jc w:val="right"/>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pPr>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70">
    <w:name w:val="Grid Table 3 - Accent 5"/>
    <w:basedOn w:val="30"/>
    <w:uiPriority w:val="99"/>
    <w:pPr>
      <w:snapToGrid w:val="1"/>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pPr>
        <w:snapToGrid w:val="1"/>
      </w:pPr>
      <w:tcPr>
        <w:shd w:val="clear" w:color="auto" w:fill="FFFFFF" w:themeFill="accent5" w:themeFillTint="34"/>
      </w:tcPr>
    </w:tblStylePr>
    <w:tblStylePr w:type="band1Vert">
      <w:rPr>
        <w:rFonts w:ascii="Arial" w:hAnsi="Arial"/>
        <w:color w:val="404040"/>
        <w:sz w:val="22"/>
      </w:rPr>
      <w:pPr>
        <w:snapToGrid w:val="1"/>
      </w:pPr>
      <w:tcPr>
        <w:shd w:val="clear" w:color="auto" w:fill="FFFFFF" w:themeFill="accent5" w:themeFillTint="34"/>
      </w:tcPr>
    </w:tblStylePr>
    <w:tblStylePr w:type="band2Horz">
      <w:pPr>
        <w:snapToGrid w:val="1"/>
      </w:pPr>
    </w:tblStylePr>
    <w:tblStylePr w:type="band2Vert">
      <w:pPr>
        <w:snapToGrid w:val="1"/>
      </w:pPr>
    </w:tblStylePr>
    <w:tblStylePr w:type="firstCol">
      <w:rPr>
        <w:i/>
        <w:color w:val="404040"/>
      </w:rPr>
      <w:pPr>
        <w:jc w:val="right"/>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pPr>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71">
    <w:name w:val="Grid Table 3 - Accent 6"/>
    <w:basedOn w:val="30"/>
    <w:uiPriority w:val="99"/>
    <w:pPr>
      <w:snapToGrid w:val="1"/>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pPr>
        <w:snapToGrid w:val="1"/>
      </w:pPr>
      <w:tcPr>
        <w:shd w:val="clear" w:color="auto" w:fill="FFFFFF" w:themeFill="accent6" w:themeFillTint="34"/>
      </w:tcPr>
    </w:tblStylePr>
    <w:tblStylePr w:type="band1Vert">
      <w:rPr>
        <w:rFonts w:ascii="Arial" w:hAnsi="Arial"/>
        <w:color w:val="404040"/>
        <w:sz w:val="22"/>
      </w:rPr>
      <w:pPr>
        <w:snapToGrid w:val="1"/>
      </w:pPr>
      <w:tcPr>
        <w:shd w:val="clear" w:color="auto" w:fill="FFFFFF" w:themeFill="accent6" w:themeFillTint="34"/>
      </w:tcPr>
    </w:tblStylePr>
    <w:tblStylePr w:type="band2Horz">
      <w:pPr>
        <w:snapToGrid w:val="1"/>
      </w:pPr>
    </w:tblStylePr>
    <w:tblStylePr w:type="band2Vert">
      <w:pPr>
        <w:snapToGrid w:val="1"/>
      </w:pPr>
    </w:tblStylePr>
    <w:tblStylePr w:type="firstCol">
      <w:rPr>
        <w:i/>
        <w:color w:val="404040"/>
      </w:rPr>
      <w:pPr>
        <w:jc w:val="right"/>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pPr>
        <w:snapToGrid w:val="1"/>
      </w:p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pPr>
        <w:snapToGrid w:val="1"/>
      </w:pPr>
      <w:tcPr>
        <w:shd w:val="clear" w:color="auto" w:fill="FFFFFF"/>
        <w:tcBorders>
          <w:left w:val="none" w:color="000000" w:sz="4" w:space="0"/>
          <w:top w:val="none" w:color="000000" w:sz="4" w:space="0"/>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72">
    <w:name w:val="Grid Table 4"/>
    <w:basedOn w:val="30"/>
    <w:uiPriority w:val="59"/>
    <w:pPr>
      <w:snapToGrid w:val="1"/>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pPr>
        <w:snapToGrid w:val="1"/>
      </w:pPr>
      <w:tcPr>
        <w:shd w:val="clear" w:color="auto" w:fill="FFFFFF" w:themeFill="text1" w:themeFillTint="34"/>
      </w:tcPr>
    </w:tblStylePr>
    <w:tblStylePr w:type="band1Vert">
      <w:rPr>
        <w:rFonts w:ascii="Arial" w:hAnsi="Arial"/>
        <w:color w:val="404040"/>
        <w:sz w:val="22"/>
      </w:rPr>
      <w:pPr>
        <w:snapToGrid w:val="1"/>
      </w:pPr>
      <w:tcPr>
        <w:shd w:val="clear" w:color="auto" w:fill="FFFFFF" w:themeFill="text1"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pPr>
        <w:snapToGrid w:val="1"/>
      </w:pPr>
    </w:tblStylePr>
    <w:tblStylePr w:type="lastRow">
      <w:rPr>
        <w:b/>
        <w:color w:val="404040"/>
      </w:rPr>
      <w:pPr>
        <w:snapToGrid w:val="1"/>
      </w:pPr>
      <w:tcPr>
        <w:tcBorders>
          <w:top w:val="single" w:color="000000" w:sz="4" w:space="0" w:themeColor="text1"/>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73">
    <w:name w:val="Grid Table 4 - Accent 1"/>
    <w:basedOn w:val="30"/>
    <w:uiPriority w:val="59"/>
    <w:pPr>
      <w:snapToGrid w:val="1"/>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pPr>
        <w:snapToGrid w:val="1"/>
      </w:pPr>
      <w:tcPr>
        <w:shd w:val="clear" w:color="auto" w:fill="FFFFFF" w:themeFill="accent1" w:themeFillTint="32"/>
      </w:tcPr>
    </w:tblStylePr>
    <w:tblStylePr w:type="band1Vert">
      <w:rPr>
        <w:rFonts w:ascii="Arial" w:hAnsi="Arial"/>
        <w:color w:val="404040"/>
        <w:sz w:val="22"/>
      </w:rPr>
      <w:pPr>
        <w:snapToGrid w:val="1"/>
      </w:pPr>
      <w:tcPr>
        <w:shd w:val="clear" w:color="auto" w:fill="FFFFFF" w:themeFill="accent1" w:themeFillTint="32"/>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pPr>
        <w:snapToGrid w:val="1"/>
      </w:pPr>
    </w:tblStylePr>
    <w:tblStylePr w:type="lastRow">
      <w:rPr>
        <w:b/>
        <w:color w:val="404040"/>
      </w:rPr>
      <w:pPr>
        <w:snapToGrid w:val="1"/>
      </w:pPr>
      <w:tcPr>
        <w:tcBorders>
          <w:top w:val="single" w:color="000000" w:sz="4" w:space="0" w:themeColor="accent1" w:themeTint="EA"/>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74">
    <w:name w:val="Grid Table 4 - Accent 2"/>
    <w:basedOn w:val="30"/>
    <w:uiPriority w:val="59"/>
    <w:pPr>
      <w:snapToGrid w:val="1"/>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pPr>
        <w:snapToGrid w:val="1"/>
      </w:pPr>
      <w:tcPr>
        <w:shd w:val="clear" w:color="auto" w:fill="FFFFFF" w:themeFill="accent2" w:themeFillTint="32"/>
      </w:tcPr>
    </w:tblStylePr>
    <w:tblStylePr w:type="band1Vert">
      <w:rPr>
        <w:rFonts w:ascii="Arial" w:hAnsi="Arial"/>
        <w:color w:val="404040"/>
        <w:sz w:val="22"/>
      </w:rPr>
      <w:pPr>
        <w:snapToGrid w:val="1"/>
      </w:pPr>
      <w:tcPr>
        <w:shd w:val="clear" w:color="auto" w:fill="FFFFFF" w:themeFill="accent2" w:themeFillTint="32"/>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pPr>
        <w:snapToGrid w:val="1"/>
      </w:pPr>
    </w:tblStylePr>
    <w:tblStylePr w:type="lastRow">
      <w:rPr>
        <w:b/>
        <w:color w:val="404040"/>
      </w:rPr>
      <w:pPr>
        <w:snapToGrid w:val="1"/>
      </w:pPr>
      <w:tcPr>
        <w:tcBorders>
          <w:top w:val="single" w:color="000000" w:sz="4" w:space="0" w:themeColor="accent2" w:themeTint="97"/>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75">
    <w:name w:val="Grid Table 4 - Accent 3"/>
    <w:basedOn w:val="30"/>
    <w:uiPriority w:val="59"/>
    <w:pPr>
      <w:snapToGrid w:val="1"/>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pPr>
        <w:snapToGrid w:val="1"/>
      </w:pPr>
      <w:tcPr>
        <w:shd w:val="clear" w:color="auto" w:fill="FFFFFF" w:themeFill="accent3" w:themeFillTint="34"/>
      </w:tcPr>
    </w:tblStylePr>
    <w:tblStylePr w:type="band1Vert">
      <w:rPr>
        <w:rFonts w:ascii="Arial" w:hAnsi="Arial"/>
        <w:color w:val="404040"/>
        <w:sz w:val="22"/>
      </w:rPr>
      <w:pPr>
        <w:snapToGrid w:val="1"/>
      </w:pPr>
      <w:tcPr>
        <w:shd w:val="clear" w:color="auto" w:fill="FFFFFF" w:themeFill="accent3"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pPr>
        <w:snapToGrid w:val="1"/>
      </w:pPr>
    </w:tblStylePr>
    <w:tblStylePr w:type="lastRow">
      <w:rPr>
        <w:b/>
        <w:color w:val="404040"/>
      </w:rPr>
      <w:pPr>
        <w:snapToGrid w:val="1"/>
      </w:pPr>
      <w:tcPr>
        <w:tcBorders>
          <w:top w:val="single" w:color="000000" w:sz="4" w:space="0" w:themeColor="accent3" w:themeTint="F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76">
    <w:name w:val="Grid Table 4 - Accent 4"/>
    <w:basedOn w:val="30"/>
    <w:uiPriority w:val="59"/>
    <w:pPr>
      <w:snapToGrid w:val="1"/>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pPr>
        <w:snapToGrid w:val="1"/>
      </w:pPr>
      <w:tcPr>
        <w:shd w:val="clear" w:color="auto" w:fill="FFFFFF" w:themeFill="accent4" w:themeFillTint="34"/>
      </w:tcPr>
    </w:tblStylePr>
    <w:tblStylePr w:type="band1Vert">
      <w:rPr>
        <w:rFonts w:ascii="Arial" w:hAnsi="Arial"/>
        <w:color w:val="404040"/>
        <w:sz w:val="22"/>
      </w:rPr>
      <w:pPr>
        <w:snapToGrid w:val="1"/>
      </w:pPr>
      <w:tcPr>
        <w:shd w:val="clear" w:color="auto" w:fill="FFFFFF" w:themeFill="accent4"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pPr>
        <w:snapToGrid w:val="1"/>
      </w:pPr>
    </w:tblStylePr>
    <w:tblStylePr w:type="lastRow">
      <w:rPr>
        <w:b/>
        <w:color w:val="404040"/>
      </w:rPr>
      <w:pPr>
        <w:snapToGrid w:val="1"/>
      </w:pPr>
      <w:tcPr>
        <w:tcBorders>
          <w:top w:val="single" w:color="000000" w:sz="4" w:space="0" w:themeColor="accent4" w:themeTint="9A"/>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77">
    <w:name w:val="Grid Table 4 - Accent 5"/>
    <w:basedOn w:val="30"/>
    <w:uiPriority w:val="59"/>
    <w:pPr>
      <w:snapToGrid w:val="1"/>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pPr>
        <w:snapToGrid w:val="1"/>
      </w:pPr>
      <w:tcPr>
        <w:shd w:val="clear" w:color="auto" w:fill="FFFFFF" w:themeFill="accent5" w:themeFillTint="34"/>
      </w:tcPr>
    </w:tblStylePr>
    <w:tblStylePr w:type="band1Vert">
      <w:rPr>
        <w:rFonts w:ascii="Arial" w:hAnsi="Arial"/>
        <w:color w:val="404040"/>
        <w:sz w:val="22"/>
      </w:rPr>
      <w:pPr>
        <w:snapToGrid w:val="1"/>
      </w:pPr>
      <w:tcPr>
        <w:shd w:val="clear" w:color="auto" w:fill="FFFFFF" w:themeFill="accent5"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pPr>
        <w:snapToGrid w:val="1"/>
      </w:pPr>
    </w:tblStylePr>
    <w:tblStylePr w:type="lastRow">
      <w:rPr>
        <w:b/>
        <w:color w:val="404040"/>
      </w:rPr>
      <w:pPr>
        <w:snapToGrid w:val="1"/>
      </w:pPr>
      <w:tcPr>
        <w:tcBorders>
          <w:top w:val="single" w:color="000000" w:sz="4" w:space="0" w:themeColor="accent5"/>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78">
    <w:name w:val="Grid Table 4 - Accent 6"/>
    <w:basedOn w:val="30"/>
    <w:uiPriority w:val="59"/>
    <w:pPr>
      <w:snapToGrid w:val="1"/>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pPr>
        <w:snapToGrid w:val="1"/>
      </w:pPr>
      <w:tcPr>
        <w:shd w:val="clear" w:color="auto" w:fill="FFFFFF" w:themeFill="accent6" w:themeFillTint="34"/>
      </w:tcPr>
    </w:tblStylePr>
    <w:tblStylePr w:type="band1Vert">
      <w:rPr>
        <w:rFonts w:ascii="Arial" w:hAnsi="Arial"/>
        <w:color w:val="404040"/>
        <w:sz w:val="22"/>
      </w:rPr>
      <w:pPr>
        <w:snapToGrid w:val="1"/>
      </w:pPr>
      <w:tcPr>
        <w:shd w:val="clear" w:color="auto" w:fill="FFFFFF" w:themeFill="accent6" w:themeFillTint="34"/>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pPr>
        <w:snapToGrid w:val="1"/>
      </w:pPr>
    </w:tblStylePr>
    <w:tblStylePr w:type="lastRow">
      <w:rPr>
        <w:b/>
        <w:color w:val="404040"/>
      </w:rPr>
      <w:pPr>
        <w:snapToGrid w:val="1"/>
      </w:pPr>
      <w:tcPr>
        <w:tcBorders>
          <w:top w:val="single" w:color="000000" w:sz="4" w:space="0" w:themeColor="accent6"/>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79">
    <w:name w:val="Grid Table 5 Dark"/>
    <w:basedOn w:val="30"/>
    <w:uiPriority w:val="99"/>
    <w:pPr>
      <w:snapToGrid w:val="1"/>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pPr>
        <w:snapToGrid w:val="1"/>
      </w:pPr>
      <w:tcPr>
        <w:shd w:val="clear" w:color="auto" w:fill="FFFFFF" w:themeFill="text1" w:themeFillTint="75"/>
      </w:tcPr>
    </w:tblStylePr>
    <w:tblStylePr w:type="band1Vert">
      <w:pPr>
        <w:snapToGrid w:val="1"/>
      </w:pPr>
      <w:tcPr>
        <w:shd w:val="clear" w:color="auto" w:fill="FFFFFF" w:themeFill="text1" w:themeFillTint="75"/>
      </w:tcPr>
    </w:tblStylePr>
    <w:tblStylePr w:type="band2Horz">
      <w:pPr>
        <w:snapToGrid w:val="1"/>
      </w:pPr>
    </w:tblStylePr>
    <w:tblStylePr w:type="band2Vert">
      <w:pPr>
        <w:snapToGrid w:val="1"/>
      </w:pPr>
    </w:tblStylePr>
    <w:tblStylePr w:type="firstCol">
      <w:rPr>
        <w:rFonts w:ascii="Arial" w:hAnsi="Arial"/>
        <w:b/>
        <w:color w:val="FFFFFF"/>
        <w:sz w:val="22"/>
      </w:rPr>
      <w:pPr>
        <w:snapToGrid w:val="1"/>
      </w:pPr>
      <w:tcPr>
        <w:shd w:val="clear" w:color="auto" w:fill="FFFFFF" w:themeFill="text1"/>
      </w:tcPr>
    </w:tblStylePr>
    <w:tblStylePr w:type="firstRow">
      <w:rPr>
        <w:rFonts w:ascii="Arial" w:hAnsi="Arial"/>
        <w:b/>
        <w:color w:val="FFFFFF"/>
        <w:sz w:val="22"/>
      </w:rPr>
      <w:pPr>
        <w:snapToGrid w:val="1"/>
      </w:pPr>
      <w:tcPr>
        <w:shd w:val="clear" w:color="auto" w:fill="FFFFFF" w:themeFill="text1"/>
      </w:tcPr>
    </w:tblStylePr>
    <w:tblStylePr w:type="lastCol">
      <w:rPr>
        <w:rFonts w:ascii="Arial" w:hAnsi="Arial"/>
        <w:b/>
        <w:color w:val="FFFFFF"/>
        <w:sz w:val="22"/>
      </w:rPr>
      <w:pPr>
        <w:snapToGrid w:val="1"/>
      </w:pPr>
      <w:tcPr>
        <w:shd w:val="clear" w:color="auto" w:fill="FFFFFF" w:themeFill="text1"/>
      </w:tcPr>
    </w:tblStylePr>
    <w:tblStylePr w:type="lastRow">
      <w:rPr>
        <w:rFonts w:ascii="Arial" w:hAnsi="Arial"/>
        <w:b/>
        <w:color w:val="FFFFFF"/>
        <w:sz w:val="22"/>
      </w:rPr>
      <w:pPr>
        <w:snapToGrid w:val="1"/>
      </w:pPr>
      <w:tcPr>
        <w:shd w:val="clear" w:color="auto" w:fill="FFFFFF" w:themeFill="text1"/>
        <w:tcBorders>
          <w:top w:val="single" w:color="000000" w:sz="4" w:space="0" w:themeColor="light1"/>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80">
    <w:name w:val="Grid Table 5 Dark- Accent 1"/>
    <w:basedOn w:val="30"/>
    <w:uiPriority w:val="99"/>
    <w:pPr>
      <w:snapToGrid w:val="1"/>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pPr>
        <w:snapToGrid w:val="1"/>
      </w:pPr>
      <w:tcPr>
        <w:shd w:val="clear" w:color="auto" w:fill="FFFFFF" w:themeFill="accent1" w:themeFillTint="75"/>
      </w:tcPr>
    </w:tblStylePr>
    <w:tblStylePr w:type="band1Vert">
      <w:pPr>
        <w:snapToGrid w:val="1"/>
      </w:pPr>
      <w:tcPr>
        <w:shd w:val="clear" w:color="auto" w:fill="FFFFFF" w:themeFill="accent1" w:themeFillTint="75"/>
      </w:tcPr>
    </w:tblStylePr>
    <w:tblStylePr w:type="band2Horz">
      <w:pPr>
        <w:snapToGrid w:val="1"/>
      </w:pPr>
    </w:tblStylePr>
    <w:tblStylePr w:type="band2Vert">
      <w:pPr>
        <w:snapToGrid w:val="1"/>
      </w:pPr>
    </w:tblStylePr>
    <w:tblStylePr w:type="firstCol">
      <w:rPr>
        <w:rFonts w:ascii="Arial" w:hAnsi="Arial"/>
        <w:b/>
        <w:color w:val="FFFFFF"/>
        <w:sz w:val="22"/>
      </w:rPr>
      <w:pPr>
        <w:snapToGrid w:val="1"/>
      </w:pPr>
      <w:tcPr>
        <w:shd w:val="clear" w:color="auto" w:fill="FFFFFF" w:themeFill="accent1"/>
      </w:tcPr>
    </w:tblStylePr>
    <w:tblStylePr w:type="firstRow">
      <w:rPr>
        <w:rFonts w:ascii="Arial" w:hAnsi="Arial"/>
        <w:b/>
        <w:color w:val="FFFFFF"/>
        <w:sz w:val="22"/>
      </w:rPr>
      <w:pPr>
        <w:snapToGrid w:val="1"/>
      </w:pPr>
      <w:tcPr>
        <w:shd w:val="clear" w:color="auto" w:fill="FFFFFF" w:themeFill="accent1"/>
      </w:tcPr>
    </w:tblStylePr>
    <w:tblStylePr w:type="lastCol">
      <w:rPr>
        <w:rFonts w:ascii="Arial" w:hAnsi="Arial"/>
        <w:b/>
        <w:color w:val="FFFFFF"/>
        <w:sz w:val="22"/>
      </w:rPr>
      <w:pPr>
        <w:snapToGrid w:val="1"/>
      </w:pPr>
      <w:tcPr>
        <w:shd w:val="clear" w:color="auto" w:fill="FFFFFF" w:themeFill="accent1"/>
      </w:tcPr>
    </w:tblStylePr>
    <w:tblStylePr w:type="lastRow">
      <w:rPr>
        <w:rFonts w:ascii="Arial" w:hAnsi="Arial"/>
        <w:b/>
        <w:color w:val="FFFFFF"/>
        <w:sz w:val="22"/>
      </w:rPr>
      <w:pPr>
        <w:snapToGrid w:val="1"/>
      </w:pPr>
      <w:tcPr>
        <w:shd w:val="clear" w:color="auto" w:fill="FFFFFF" w:themeFill="accent1"/>
        <w:tcBorders>
          <w:top w:val="single" w:color="000000" w:sz="4" w:space="0" w:themeColor="light1"/>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81">
    <w:name w:val="Grid Table 5 Dark - Accent 2"/>
    <w:basedOn w:val="30"/>
    <w:uiPriority w:val="99"/>
    <w:pPr>
      <w:snapToGrid w:val="1"/>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pPr>
        <w:snapToGrid w:val="1"/>
      </w:pPr>
      <w:tcPr>
        <w:shd w:val="clear" w:color="auto" w:fill="FFFFFF" w:themeFill="accent2" w:themeFillTint="75"/>
      </w:tcPr>
    </w:tblStylePr>
    <w:tblStylePr w:type="band1Vert">
      <w:pPr>
        <w:snapToGrid w:val="1"/>
      </w:pPr>
      <w:tcPr>
        <w:shd w:val="clear" w:color="auto" w:fill="FFFFFF" w:themeFill="accent2" w:themeFillTint="75"/>
      </w:tcPr>
    </w:tblStylePr>
    <w:tblStylePr w:type="band2Horz">
      <w:pPr>
        <w:snapToGrid w:val="1"/>
      </w:pPr>
    </w:tblStylePr>
    <w:tblStylePr w:type="band2Vert">
      <w:pPr>
        <w:snapToGrid w:val="1"/>
      </w:pPr>
    </w:tblStylePr>
    <w:tblStylePr w:type="firstCol">
      <w:rPr>
        <w:rFonts w:ascii="Arial" w:hAnsi="Arial"/>
        <w:b/>
        <w:color w:val="FFFFFF"/>
        <w:sz w:val="22"/>
      </w:rPr>
      <w:pPr>
        <w:snapToGrid w:val="1"/>
      </w:pPr>
      <w:tcPr>
        <w:shd w:val="clear" w:color="auto" w:fill="FFFFFF" w:themeFill="accent2"/>
      </w:tcPr>
    </w:tblStylePr>
    <w:tblStylePr w:type="firstRow">
      <w:rPr>
        <w:rFonts w:ascii="Arial" w:hAnsi="Arial"/>
        <w:b/>
        <w:color w:val="FFFFFF"/>
        <w:sz w:val="22"/>
      </w:rPr>
      <w:pPr>
        <w:snapToGrid w:val="1"/>
      </w:pPr>
      <w:tcPr>
        <w:shd w:val="clear" w:color="auto" w:fill="FFFFFF" w:themeFill="accent2"/>
      </w:tcPr>
    </w:tblStylePr>
    <w:tblStylePr w:type="lastCol">
      <w:rPr>
        <w:rFonts w:ascii="Arial" w:hAnsi="Arial"/>
        <w:b/>
        <w:color w:val="FFFFFF"/>
        <w:sz w:val="22"/>
      </w:rPr>
      <w:pPr>
        <w:snapToGrid w:val="1"/>
      </w:pPr>
      <w:tcPr>
        <w:shd w:val="clear" w:color="auto" w:fill="FFFFFF" w:themeFill="accent2"/>
      </w:tcPr>
    </w:tblStylePr>
    <w:tblStylePr w:type="lastRow">
      <w:rPr>
        <w:rFonts w:ascii="Arial" w:hAnsi="Arial"/>
        <w:b/>
        <w:color w:val="FFFFFF"/>
        <w:sz w:val="22"/>
      </w:rPr>
      <w:pPr>
        <w:snapToGrid w:val="1"/>
      </w:pPr>
      <w:tcPr>
        <w:shd w:val="clear" w:color="auto" w:fill="FFFFFF" w:themeFill="accent2"/>
        <w:tcBorders>
          <w:top w:val="single" w:color="000000" w:sz="4" w:space="0" w:themeColor="light1"/>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82">
    <w:name w:val="Grid Table 5 Dark - Accent 3"/>
    <w:basedOn w:val="30"/>
    <w:uiPriority w:val="99"/>
    <w:pPr>
      <w:snapToGrid w:val="1"/>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pPr>
        <w:snapToGrid w:val="1"/>
      </w:pPr>
      <w:tcPr>
        <w:shd w:val="clear" w:color="auto" w:fill="FFFFFF" w:themeFill="accent3" w:themeFillTint="75"/>
      </w:tcPr>
    </w:tblStylePr>
    <w:tblStylePr w:type="band1Vert">
      <w:pPr>
        <w:snapToGrid w:val="1"/>
      </w:pPr>
      <w:tcPr>
        <w:shd w:val="clear" w:color="auto" w:fill="FFFFFF" w:themeFill="accent3" w:themeFillTint="75"/>
      </w:tcPr>
    </w:tblStylePr>
    <w:tblStylePr w:type="band2Horz">
      <w:pPr>
        <w:snapToGrid w:val="1"/>
      </w:pPr>
    </w:tblStylePr>
    <w:tblStylePr w:type="band2Vert">
      <w:pPr>
        <w:snapToGrid w:val="1"/>
      </w:pPr>
    </w:tblStylePr>
    <w:tblStylePr w:type="firstCol">
      <w:rPr>
        <w:rFonts w:ascii="Arial" w:hAnsi="Arial"/>
        <w:b/>
        <w:color w:val="FFFFFF"/>
        <w:sz w:val="22"/>
      </w:rPr>
      <w:pPr>
        <w:snapToGrid w:val="1"/>
      </w:pPr>
      <w:tcPr>
        <w:shd w:val="clear" w:color="auto" w:fill="FFFFFF" w:themeFill="accent3"/>
      </w:tcPr>
    </w:tblStylePr>
    <w:tblStylePr w:type="firstRow">
      <w:rPr>
        <w:rFonts w:ascii="Arial" w:hAnsi="Arial"/>
        <w:b/>
        <w:color w:val="FFFFFF"/>
        <w:sz w:val="22"/>
      </w:rPr>
      <w:pPr>
        <w:snapToGrid w:val="1"/>
      </w:pPr>
      <w:tcPr>
        <w:shd w:val="clear" w:color="auto" w:fill="FFFFFF" w:themeFill="accent3"/>
      </w:tcPr>
    </w:tblStylePr>
    <w:tblStylePr w:type="lastCol">
      <w:rPr>
        <w:rFonts w:ascii="Arial" w:hAnsi="Arial"/>
        <w:b/>
        <w:color w:val="FFFFFF"/>
        <w:sz w:val="22"/>
      </w:rPr>
      <w:pPr>
        <w:snapToGrid w:val="1"/>
      </w:pPr>
      <w:tcPr>
        <w:shd w:val="clear" w:color="auto" w:fill="FFFFFF" w:themeFill="accent3"/>
      </w:tcPr>
    </w:tblStylePr>
    <w:tblStylePr w:type="lastRow">
      <w:rPr>
        <w:rFonts w:ascii="Arial" w:hAnsi="Arial"/>
        <w:b/>
        <w:color w:val="FFFFFF"/>
        <w:sz w:val="22"/>
      </w:rPr>
      <w:pPr>
        <w:snapToGrid w:val="1"/>
      </w:pPr>
      <w:tcPr>
        <w:shd w:val="clear" w:color="auto" w:fill="FFFFFF" w:themeFill="accent3"/>
        <w:tcBorders>
          <w:top w:val="single" w:color="000000" w:sz="4" w:space="0" w:themeColor="light1"/>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83">
    <w:name w:val="Grid Table 5 Dark- Accent 4"/>
    <w:basedOn w:val="30"/>
    <w:uiPriority w:val="99"/>
    <w:pPr>
      <w:snapToGrid w:val="1"/>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pPr>
        <w:snapToGrid w:val="1"/>
      </w:pPr>
      <w:tcPr>
        <w:shd w:val="clear" w:color="auto" w:fill="FFFFFF" w:themeFill="accent4" w:themeFillTint="75"/>
      </w:tcPr>
    </w:tblStylePr>
    <w:tblStylePr w:type="band1Vert">
      <w:pPr>
        <w:snapToGrid w:val="1"/>
      </w:pPr>
      <w:tcPr>
        <w:shd w:val="clear" w:color="auto" w:fill="FFFFFF" w:themeFill="accent4" w:themeFillTint="75"/>
      </w:tcPr>
    </w:tblStylePr>
    <w:tblStylePr w:type="band2Horz">
      <w:pPr>
        <w:snapToGrid w:val="1"/>
      </w:pPr>
    </w:tblStylePr>
    <w:tblStylePr w:type="band2Vert">
      <w:pPr>
        <w:snapToGrid w:val="1"/>
      </w:pPr>
    </w:tblStylePr>
    <w:tblStylePr w:type="firstCol">
      <w:rPr>
        <w:rFonts w:ascii="Arial" w:hAnsi="Arial"/>
        <w:b/>
        <w:color w:val="FFFFFF"/>
        <w:sz w:val="22"/>
      </w:rPr>
      <w:pPr>
        <w:snapToGrid w:val="1"/>
      </w:pPr>
      <w:tcPr>
        <w:shd w:val="clear" w:color="auto" w:fill="FFFFFF" w:themeFill="accent4"/>
      </w:tcPr>
    </w:tblStylePr>
    <w:tblStylePr w:type="firstRow">
      <w:rPr>
        <w:rFonts w:ascii="Arial" w:hAnsi="Arial"/>
        <w:b/>
        <w:color w:val="FFFFFF"/>
        <w:sz w:val="22"/>
      </w:rPr>
      <w:pPr>
        <w:snapToGrid w:val="1"/>
      </w:pPr>
      <w:tcPr>
        <w:shd w:val="clear" w:color="auto" w:fill="FFFFFF" w:themeFill="accent4"/>
      </w:tcPr>
    </w:tblStylePr>
    <w:tblStylePr w:type="lastCol">
      <w:rPr>
        <w:rFonts w:ascii="Arial" w:hAnsi="Arial"/>
        <w:b/>
        <w:color w:val="FFFFFF"/>
        <w:sz w:val="22"/>
      </w:rPr>
      <w:pPr>
        <w:snapToGrid w:val="1"/>
      </w:pPr>
      <w:tcPr>
        <w:shd w:val="clear" w:color="auto" w:fill="FFFFFF" w:themeFill="accent4"/>
      </w:tcPr>
    </w:tblStylePr>
    <w:tblStylePr w:type="lastRow">
      <w:rPr>
        <w:rFonts w:ascii="Arial" w:hAnsi="Arial"/>
        <w:b/>
        <w:color w:val="FFFFFF"/>
        <w:sz w:val="22"/>
      </w:rPr>
      <w:pPr>
        <w:snapToGrid w:val="1"/>
      </w:pPr>
      <w:tcPr>
        <w:shd w:val="clear" w:color="auto" w:fill="FFFFFF" w:themeFill="accent4"/>
        <w:tcBorders>
          <w:top w:val="single" w:color="000000" w:sz="4" w:space="0" w:themeColor="light1"/>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84">
    <w:name w:val="Grid Table 5 Dark - Accent 5"/>
    <w:basedOn w:val="30"/>
    <w:uiPriority w:val="99"/>
    <w:pPr>
      <w:snapToGrid w:val="1"/>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pPr>
        <w:snapToGrid w:val="1"/>
      </w:pPr>
      <w:tcPr>
        <w:shd w:val="clear" w:color="auto" w:fill="FFFFFF" w:themeFill="accent5" w:themeFillTint="75"/>
      </w:tcPr>
    </w:tblStylePr>
    <w:tblStylePr w:type="band1Vert">
      <w:pPr>
        <w:snapToGrid w:val="1"/>
      </w:pPr>
      <w:tcPr>
        <w:shd w:val="clear" w:color="auto" w:fill="FFFFFF" w:themeFill="accent5" w:themeFillTint="75"/>
      </w:tcPr>
    </w:tblStylePr>
    <w:tblStylePr w:type="band2Horz">
      <w:pPr>
        <w:snapToGrid w:val="1"/>
      </w:pPr>
    </w:tblStylePr>
    <w:tblStylePr w:type="band2Vert">
      <w:pPr>
        <w:snapToGrid w:val="1"/>
      </w:pPr>
    </w:tblStylePr>
    <w:tblStylePr w:type="firstCol">
      <w:rPr>
        <w:rFonts w:ascii="Arial" w:hAnsi="Arial"/>
        <w:b/>
        <w:color w:val="FFFFFF"/>
        <w:sz w:val="22"/>
      </w:rPr>
      <w:pPr>
        <w:snapToGrid w:val="1"/>
      </w:pPr>
      <w:tcPr>
        <w:shd w:val="clear" w:color="auto" w:fill="FFFFFF" w:themeFill="accent5"/>
      </w:tcPr>
    </w:tblStylePr>
    <w:tblStylePr w:type="firstRow">
      <w:rPr>
        <w:rFonts w:ascii="Arial" w:hAnsi="Arial"/>
        <w:b/>
        <w:color w:val="FFFFFF"/>
        <w:sz w:val="22"/>
      </w:rPr>
      <w:pPr>
        <w:snapToGrid w:val="1"/>
      </w:pPr>
      <w:tcPr>
        <w:shd w:val="clear" w:color="auto" w:fill="FFFFFF" w:themeFill="accent5"/>
      </w:tcPr>
    </w:tblStylePr>
    <w:tblStylePr w:type="lastCol">
      <w:rPr>
        <w:rFonts w:ascii="Arial" w:hAnsi="Arial"/>
        <w:b/>
        <w:color w:val="FFFFFF"/>
        <w:sz w:val="22"/>
      </w:rPr>
      <w:pPr>
        <w:snapToGrid w:val="1"/>
      </w:pPr>
      <w:tcPr>
        <w:shd w:val="clear" w:color="auto" w:fill="FFFFFF" w:themeFill="accent5"/>
      </w:tcPr>
    </w:tblStylePr>
    <w:tblStylePr w:type="lastRow">
      <w:rPr>
        <w:rFonts w:ascii="Arial" w:hAnsi="Arial"/>
        <w:b/>
        <w:color w:val="FFFFFF"/>
        <w:sz w:val="22"/>
      </w:rPr>
      <w:pPr>
        <w:snapToGrid w:val="1"/>
      </w:pPr>
      <w:tcPr>
        <w:shd w:val="clear" w:color="auto" w:fill="FFFFFF" w:themeFill="accent5"/>
        <w:tcBorders>
          <w:top w:val="single" w:color="000000" w:sz="4" w:space="0" w:themeColor="light1"/>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85">
    <w:name w:val="Grid Table 5 Dark - Accent 6"/>
    <w:basedOn w:val="30"/>
    <w:uiPriority w:val="99"/>
    <w:pPr>
      <w:snapToGrid w:val="1"/>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pPr>
        <w:snapToGrid w:val="1"/>
      </w:pPr>
      <w:tcPr>
        <w:shd w:val="clear" w:color="auto" w:fill="FFFFFF" w:themeFill="accent6" w:themeFillTint="75"/>
      </w:tcPr>
    </w:tblStylePr>
    <w:tblStylePr w:type="band1Vert">
      <w:pPr>
        <w:snapToGrid w:val="1"/>
      </w:pPr>
      <w:tcPr>
        <w:shd w:val="clear" w:color="auto" w:fill="FFFFFF" w:themeFill="accent6" w:themeFillTint="75"/>
      </w:tcPr>
    </w:tblStylePr>
    <w:tblStylePr w:type="band2Horz">
      <w:pPr>
        <w:snapToGrid w:val="1"/>
      </w:pPr>
    </w:tblStylePr>
    <w:tblStylePr w:type="band2Vert">
      <w:pPr>
        <w:snapToGrid w:val="1"/>
      </w:pPr>
    </w:tblStylePr>
    <w:tblStylePr w:type="firstCol">
      <w:rPr>
        <w:rFonts w:ascii="Arial" w:hAnsi="Arial"/>
        <w:b/>
        <w:color w:val="FFFFFF"/>
        <w:sz w:val="22"/>
      </w:rPr>
      <w:pPr>
        <w:snapToGrid w:val="1"/>
      </w:pPr>
      <w:tcPr>
        <w:shd w:val="clear" w:color="auto" w:fill="FFFFFF" w:themeFill="accent6"/>
      </w:tcPr>
    </w:tblStylePr>
    <w:tblStylePr w:type="firstRow">
      <w:rPr>
        <w:rFonts w:ascii="Arial" w:hAnsi="Arial"/>
        <w:b/>
        <w:color w:val="FFFFFF"/>
        <w:sz w:val="22"/>
      </w:rPr>
      <w:pPr>
        <w:snapToGrid w:val="1"/>
      </w:pPr>
      <w:tcPr>
        <w:shd w:val="clear" w:color="auto" w:fill="FFFFFF" w:themeFill="accent6"/>
      </w:tcPr>
    </w:tblStylePr>
    <w:tblStylePr w:type="lastCol">
      <w:rPr>
        <w:rFonts w:ascii="Arial" w:hAnsi="Arial"/>
        <w:b/>
        <w:color w:val="FFFFFF"/>
        <w:sz w:val="22"/>
      </w:rPr>
      <w:pPr>
        <w:snapToGrid w:val="1"/>
      </w:pPr>
      <w:tcPr>
        <w:shd w:val="clear" w:color="auto" w:fill="FFFFFF" w:themeFill="accent6"/>
      </w:tcPr>
    </w:tblStylePr>
    <w:tblStylePr w:type="lastRow">
      <w:rPr>
        <w:rFonts w:ascii="Arial" w:hAnsi="Arial"/>
        <w:b/>
        <w:color w:val="FFFFFF"/>
        <w:sz w:val="22"/>
      </w:rPr>
      <w:pPr>
        <w:snapToGrid w:val="1"/>
      </w:pPr>
      <w:tcPr>
        <w:shd w:val="clear" w:color="auto" w:fill="FFFFFF" w:themeFill="accent6"/>
        <w:tcBorders>
          <w:top w:val="single" w:color="000000" w:sz="4" w:space="0" w:themeColor="light1"/>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86">
    <w:name w:val="Grid Table 6 Colorful"/>
    <w:basedOn w:val="30"/>
    <w:uiPriority w:val="99"/>
    <w:pPr>
      <w:snapToGrid w:val="1"/>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pPr>
        <w:snapToGrid w:val="1"/>
      </w:pPr>
      <w:tcPr>
        <w:shd w:val="clear" w:color="auto" w:fill="FFFFFF" w:themeFill="text1" w:themeFillTint="34"/>
      </w:tcPr>
    </w:tblStylePr>
    <w:tblStylePr w:type="band1Vert">
      <w:pPr>
        <w:snapToGrid w:val="1"/>
      </w:pPr>
      <w:tcPr>
        <w:shd w:val="clear" w:color="auto" w:fill="FFFFFF" w:themeFill="text1" w:themeFillTint="34"/>
      </w:tcPr>
    </w:tblStylePr>
    <w:tblStylePr w:type="band2Horz">
      <w:rPr>
        <w:rFonts w:ascii="Arial" w:hAnsi="Arial"/>
        <w:color w:val="404040" w:themeColor="text1" w:themeTint="80" w:themeShade="95"/>
        <w:sz w:val="22"/>
      </w:rPr>
      <w:pPr>
        <w:snapToGrid w:val="1"/>
      </w:pPr>
    </w:tblStylePr>
    <w:tblStylePr w:type="band2Vert">
      <w:pPr>
        <w:snapToGrid w:val="1"/>
      </w:pPr>
    </w:tblStylePr>
    <w:tblStylePr w:type="firstCol">
      <w:rPr>
        <w:b/>
        <w:color w:val="4A4A4A" w:themeColor="text1" w:themeTint="80" w:themeShade="95"/>
      </w:rPr>
      <w:pPr>
        <w:snapToGrid w:val="1"/>
      </w:pPr>
    </w:tblStylePr>
    <w:tblStylePr w:type="firstRow">
      <w:rPr>
        <w:b/>
        <w:color w:val="4A4A4A" w:themeColor="text1" w:themeTint="80" w:themeShade="95"/>
      </w:rPr>
      <w:pPr>
        <w:snapToGrid w:val="1"/>
      </w:pPr>
      <w:tcPr>
        <w:tcBorders>
          <w:bottom w:val="single" w:color="000000" w:sz="12" w:space="0" w:themeColor="text1" w:themeTint="80"/>
        </w:tcBorders>
      </w:tcPr>
    </w:tblStylePr>
    <w:tblStylePr w:type="lastCol">
      <w:rPr>
        <w:b/>
        <w:color w:val="4A4A4A" w:themeColor="text1" w:themeTint="80" w:themeShade="95"/>
      </w:rPr>
      <w:pPr>
        <w:snapToGrid w:val="1"/>
      </w:pPr>
    </w:tblStylePr>
    <w:tblStylePr w:type="lastRow">
      <w:rPr>
        <w:b/>
        <w:color w:val="4A4A4A" w:themeColor="text1" w:themeTint="80" w:themeShade="95"/>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404040" w:themeColor="text1" w:themeTint="80" w:themeShade="95"/>
        <w:sz w:val="22"/>
      </w:rPr>
      <w:pPr>
        <w:snapToGrid w:val="1"/>
      </w:pPr>
    </w:tblStylePr>
  </w:style>
  <w:style w:type="table" w:styleId="87">
    <w:name w:val="Grid Table 6 Colorful - Accent 1"/>
    <w:basedOn w:val="30"/>
    <w:uiPriority w:val="99"/>
    <w:pPr>
      <w:snapToGrid w:val="1"/>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pPr>
        <w:snapToGrid w:val="1"/>
      </w:pPr>
      <w:tcPr>
        <w:shd w:val="clear" w:color="auto" w:fill="FFFFFF" w:themeFill="accent1" w:themeFillTint="34"/>
      </w:tcPr>
    </w:tblStylePr>
    <w:tblStylePr w:type="band1Vert">
      <w:pPr>
        <w:snapToGrid w:val="1"/>
      </w:pPr>
      <w:tcPr>
        <w:shd w:val="clear" w:color="auto" w:fill="FFFFFF" w:themeFill="accent1" w:themeFillTint="34"/>
      </w:tcPr>
    </w:tblStylePr>
    <w:tblStylePr w:type="band2Horz">
      <w:rPr>
        <w:rFonts w:ascii="Arial" w:hAnsi="Arial"/>
        <w:color w:val="404040" w:themeColor="accent1" w:themeTint="80" w:themeShade="95"/>
        <w:sz w:val="22"/>
      </w:rPr>
      <w:pPr>
        <w:snapToGrid w:val="1"/>
      </w:pPr>
    </w:tblStylePr>
    <w:tblStylePr w:type="band2Vert">
      <w:pPr>
        <w:snapToGrid w:val="1"/>
      </w:pPr>
    </w:tblStylePr>
    <w:tblStylePr w:type="firstCol">
      <w:rPr>
        <w:b/>
        <w:color w:val="3E70A3" w:themeColor="accent1" w:themeTint="80" w:themeShade="95"/>
      </w:rPr>
      <w:pPr>
        <w:snapToGrid w:val="1"/>
      </w:pPr>
    </w:tblStylePr>
    <w:tblStylePr w:type="firstRow">
      <w:rPr>
        <w:b/>
        <w:color w:val="3E70A3" w:themeColor="accent1" w:themeTint="80" w:themeShade="95"/>
      </w:rPr>
      <w:pPr>
        <w:snapToGrid w:val="1"/>
      </w:pPr>
      <w:tcPr>
        <w:tcBorders>
          <w:bottom w:val="single" w:color="000000" w:sz="12" w:space="0" w:themeColor="accent1" w:themeTint="80"/>
        </w:tcBorders>
      </w:tcPr>
    </w:tblStylePr>
    <w:tblStylePr w:type="lastCol">
      <w:rPr>
        <w:b/>
        <w:color w:val="3E70A3" w:themeColor="accent1" w:themeTint="80" w:themeShade="95"/>
      </w:rPr>
      <w:pPr>
        <w:snapToGrid w:val="1"/>
      </w:pPr>
    </w:tblStylePr>
    <w:tblStylePr w:type="lastRow">
      <w:rPr>
        <w:b/>
        <w:color w:val="3E70A3" w:themeColor="accent1" w:themeTint="80" w:themeShade="95"/>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404040" w:themeColor="accent1" w:themeTint="80" w:themeShade="95"/>
        <w:sz w:val="22"/>
      </w:rPr>
      <w:pPr>
        <w:snapToGrid w:val="1"/>
      </w:pPr>
    </w:tblStylePr>
  </w:style>
  <w:style w:type="table" w:styleId="88">
    <w:name w:val="Grid Table 6 Colorful - Accent 2"/>
    <w:basedOn w:val="30"/>
    <w:uiPriority w:val="99"/>
    <w:pPr>
      <w:snapToGrid w:val="1"/>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pPr>
        <w:snapToGrid w:val="1"/>
      </w:pPr>
      <w:tcPr>
        <w:shd w:val="clear" w:color="auto" w:fill="FFFFFF" w:themeFill="accent2" w:themeFillTint="32"/>
      </w:tcPr>
    </w:tblStylePr>
    <w:tblStylePr w:type="band1Vert">
      <w:pPr>
        <w:snapToGrid w:val="1"/>
      </w:pPr>
      <w:tcPr>
        <w:shd w:val="clear" w:color="auto" w:fill="FFFFFF" w:themeFill="accent2" w:themeFillTint="32"/>
      </w:tcPr>
    </w:tblStylePr>
    <w:tblStylePr w:type="band2Horz">
      <w:rPr>
        <w:rFonts w:ascii="Arial" w:hAnsi="Arial"/>
        <w:color w:val="404040" w:themeColor="accent2" w:themeTint="97" w:themeShade="95"/>
        <w:sz w:val="22"/>
      </w:rPr>
      <w:pPr>
        <w:snapToGrid w:val="1"/>
      </w:pPr>
    </w:tblStylePr>
    <w:tblStylePr w:type="band2Vert">
      <w:pPr>
        <w:snapToGrid w:val="1"/>
      </w:pPr>
    </w:tblStylePr>
    <w:tblStylePr w:type="firstCol">
      <w:rPr>
        <w:b/>
        <w:color w:val="9C3A37" w:themeColor="accent2" w:themeTint="97" w:themeShade="95"/>
      </w:rPr>
      <w:pPr>
        <w:snapToGrid w:val="1"/>
      </w:pPr>
    </w:tblStylePr>
    <w:tblStylePr w:type="firstRow">
      <w:rPr>
        <w:b/>
        <w:color w:val="9C3A37" w:themeColor="accent2" w:themeTint="97" w:themeShade="95"/>
      </w:rPr>
      <w:pPr>
        <w:snapToGrid w:val="1"/>
      </w:pPr>
      <w:tcPr>
        <w:tcBorders>
          <w:bottom w:val="single" w:color="000000" w:sz="12" w:space="0" w:themeColor="accent2" w:themeTint="97"/>
        </w:tcBorders>
      </w:tcPr>
    </w:tblStylePr>
    <w:tblStylePr w:type="lastCol">
      <w:rPr>
        <w:b/>
        <w:color w:val="9C3A37" w:themeColor="accent2" w:themeTint="97" w:themeShade="95"/>
      </w:rPr>
      <w:pPr>
        <w:snapToGrid w:val="1"/>
      </w:pPr>
    </w:tblStylePr>
    <w:tblStylePr w:type="lastRow">
      <w:rPr>
        <w:b/>
        <w:color w:val="9C3A37" w:themeColor="accent2" w:themeTint="97" w:themeShade="95"/>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404040" w:themeColor="accent2" w:themeTint="97" w:themeShade="95"/>
        <w:sz w:val="22"/>
      </w:rPr>
      <w:pPr>
        <w:snapToGrid w:val="1"/>
      </w:pPr>
    </w:tblStylePr>
  </w:style>
  <w:style w:type="table" w:styleId="89">
    <w:name w:val="Grid Table 6 Colorful - Accent 3"/>
    <w:basedOn w:val="30"/>
    <w:uiPriority w:val="99"/>
    <w:pPr>
      <w:snapToGrid w:val="1"/>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pPr>
        <w:snapToGrid w:val="1"/>
      </w:pPr>
      <w:tcPr>
        <w:shd w:val="clear" w:color="auto" w:fill="FFFFFF" w:themeFill="accent3" w:themeFillTint="34"/>
      </w:tcPr>
    </w:tblStylePr>
    <w:tblStylePr w:type="band1Vert">
      <w:pPr>
        <w:snapToGrid w:val="1"/>
      </w:pPr>
      <w:tcPr>
        <w:shd w:val="clear" w:color="auto" w:fill="FFFFFF" w:themeFill="accent3" w:themeFillTint="34"/>
      </w:tcPr>
    </w:tblStylePr>
    <w:tblStylePr w:type="band2Horz">
      <w:rPr>
        <w:rFonts w:ascii="Arial" w:hAnsi="Arial"/>
        <w:color w:val="404040" w:themeColor="accent3" w:themeTint="FE" w:themeShade="95"/>
        <w:sz w:val="22"/>
      </w:rPr>
      <w:pPr>
        <w:snapToGrid w:val="1"/>
      </w:pPr>
    </w:tblStylePr>
    <w:tblStylePr w:type="band2Vert">
      <w:pPr>
        <w:snapToGrid w:val="1"/>
      </w:pPr>
    </w:tblStylePr>
    <w:tblStylePr w:type="firstCol">
      <w:rPr>
        <w:b/>
        <w:color w:val="5C702F" w:themeColor="accent3" w:themeTint="FE" w:themeShade="95"/>
      </w:rPr>
      <w:pPr>
        <w:snapToGrid w:val="1"/>
      </w:pPr>
    </w:tblStylePr>
    <w:tblStylePr w:type="firstRow">
      <w:rPr>
        <w:b/>
        <w:color w:val="5C702F" w:themeColor="accent3" w:themeTint="FE" w:themeShade="95"/>
      </w:rPr>
      <w:pPr>
        <w:snapToGrid w:val="1"/>
      </w:pPr>
      <w:tcPr>
        <w:tcBorders>
          <w:bottom w:val="single" w:color="000000" w:sz="12" w:space="0" w:themeColor="accent3" w:themeTint="FE"/>
        </w:tcBorders>
      </w:tcPr>
    </w:tblStylePr>
    <w:tblStylePr w:type="lastCol">
      <w:rPr>
        <w:b/>
        <w:color w:val="5C702F" w:themeColor="accent3" w:themeTint="FE" w:themeShade="95"/>
      </w:rPr>
      <w:pPr>
        <w:snapToGrid w:val="1"/>
      </w:pPr>
    </w:tblStylePr>
    <w:tblStylePr w:type="lastRow">
      <w:rPr>
        <w:b/>
        <w:color w:val="5C702F" w:themeColor="accent3" w:themeTint="FE" w:themeShade="95"/>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404040" w:themeColor="accent3" w:themeTint="FE" w:themeShade="95"/>
        <w:sz w:val="22"/>
      </w:rPr>
      <w:pPr>
        <w:snapToGrid w:val="1"/>
      </w:pPr>
    </w:tblStylePr>
  </w:style>
  <w:style w:type="table" w:styleId="90">
    <w:name w:val="Grid Table 6 Colorful - Accent 4"/>
    <w:basedOn w:val="30"/>
    <w:uiPriority w:val="99"/>
    <w:pPr>
      <w:snapToGrid w:val="1"/>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pPr>
        <w:snapToGrid w:val="1"/>
      </w:pPr>
      <w:tcPr>
        <w:shd w:val="clear" w:color="auto" w:fill="FFFFFF" w:themeFill="accent4" w:themeFillTint="34"/>
      </w:tcPr>
    </w:tblStylePr>
    <w:tblStylePr w:type="band1Vert">
      <w:pPr>
        <w:snapToGrid w:val="1"/>
      </w:pPr>
      <w:tcPr>
        <w:shd w:val="clear" w:color="auto" w:fill="FFFFFF" w:themeFill="accent4" w:themeFillTint="34"/>
      </w:tcPr>
    </w:tblStylePr>
    <w:tblStylePr w:type="band2Horz">
      <w:rPr>
        <w:rFonts w:ascii="Arial" w:hAnsi="Arial"/>
        <w:color w:val="404040" w:themeColor="accent4" w:themeTint="9A" w:themeShade="95"/>
        <w:sz w:val="22"/>
      </w:rPr>
      <w:pPr>
        <w:snapToGrid w:val="1"/>
      </w:pPr>
    </w:tblStylePr>
    <w:tblStylePr w:type="band2Vert">
      <w:pPr>
        <w:snapToGrid w:val="1"/>
      </w:pPr>
    </w:tblStylePr>
    <w:tblStylePr w:type="firstCol">
      <w:rPr>
        <w:b/>
        <w:color w:val="664F82" w:themeColor="accent4" w:themeTint="9A" w:themeShade="95"/>
      </w:rPr>
      <w:pPr>
        <w:snapToGrid w:val="1"/>
      </w:pPr>
    </w:tblStylePr>
    <w:tblStylePr w:type="firstRow">
      <w:rPr>
        <w:b/>
        <w:color w:val="664F82" w:themeColor="accent4" w:themeTint="9A" w:themeShade="95"/>
      </w:rPr>
      <w:pPr>
        <w:snapToGrid w:val="1"/>
      </w:pPr>
      <w:tcPr>
        <w:tcBorders>
          <w:bottom w:val="single" w:color="000000" w:sz="12" w:space="0" w:themeColor="accent4" w:themeTint="9A"/>
        </w:tcBorders>
      </w:tcPr>
    </w:tblStylePr>
    <w:tblStylePr w:type="lastCol">
      <w:rPr>
        <w:b/>
        <w:color w:val="664F82" w:themeColor="accent4" w:themeTint="9A" w:themeShade="95"/>
      </w:rPr>
      <w:pPr>
        <w:snapToGrid w:val="1"/>
      </w:pPr>
    </w:tblStylePr>
    <w:tblStylePr w:type="lastRow">
      <w:rPr>
        <w:b/>
        <w:color w:val="664F82" w:themeColor="accent4" w:themeTint="9A" w:themeShade="95"/>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404040" w:themeColor="accent4" w:themeTint="9A" w:themeShade="95"/>
        <w:sz w:val="22"/>
      </w:rPr>
      <w:pPr>
        <w:snapToGrid w:val="1"/>
      </w:pPr>
    </w:tblStylePr>
  </w:style>
  <w:style w:type="table" w:styleId="91">
    <w:name w:val="Grid Table 6 Colorful - Accent 5"/>
    <w:basedOn w:val="30"/>
    <w:uiPriority w:val="99"/>
    <w:pPr>
      <w:snapToGrid w:val="1"/>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pPr>
        <w:snapToGrid w:val="1"/>
      </w:pPr>
      <w:tcPr>
        <w:shd w:val="clear" w:color="auto" w:fill="FFFFFF" w:themeFill="accent5" w:themeFillTint="34"/>
      </w:tcPr>
    </w:tblStylePr>
    <w:tblStylePr w:type="band1Vert">
      <w:pPr>
        <w:snapToGrid w:val="1"/>
      </w:pPr>
      <w:tcPr>
        <w:shd w:val="clear" w:color="auto" w:fill="FFFFFF" w:themeFill="accent5" w:themeFillTint="34"/>
      </w:tcPr>
    </w:tblStylePr>
    <w:tblStylePr w:type="band2Horz">
      <w:rPr>
        <w:rFonts w:ascii="Arial" w:hAnsi="Arial"/>
        <w:color w:val="404040" w:themeColor="accent5" w:themeShade="95"/>
        <w:sz w:val="22"/>
      </w:rPr>
      <w:pPr>
        <w:snapToGrid w:val="1"/>
      </w:pPr>
    </w:tblStylePr>
    <w:tblStylePr w:type="band2Vert">
      <w:pPr>
        <w:snapToGrid w:val="1"/>
      </w:pPr>
    </w:tblStylePr>
    <w:tblStylePr w:type="firstCol">
      <w:rPr>
        <w:b/>
        <w:color w:val="266777" w:themeColor="accent5" w:themeShade="95"/>
      </w:rPr>
      <w:pPr>
        <w:snapToGrid w:val="1"/>
      </w:pPr>
    </w:tblStylePr>
    <w:tblStylePr w:type="firstRow">
      <w:rPr>
        <w:b/>
        <w:color w:val="266777" w:themeColor="accent5" w:themeShade="95"/>
      </w:rPr>
      <w:pPr>
        <w:snapToGrid w:val="1"/>
      </w:pPr>
      <w:tcPr>
        <w:tcBorders>
          <w:bottom w:val="single" w:color="000000" w:sz="12" w:space="0" w:themeColor="accent5"/>
        </w:tcBorders>
      </w:tcPr>
    </w:tblStylePr>
    <w:tblStylePr w:type="lastCol">
      <w:rPr>
        <w:b/>
        <w:color w:val="266777" w:themeColor="accent5" w:themeShade="95"/>
      </w:rPr>
      <w:pPr>
        <w:snapToGrid w:val="1"/>
      </w:pPr>
    </w:tblStylePr>
    <w:tblStylePr w:type="lastRow">
      <w:rPr>
        <w:b/>
        <w:color w:val="266777" w:themeColor="accent5" w:themeShade="95"/>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404040" w:themeColor="accent5" w:themeShade="95"/>
        <w:sz w:val="22"/>
      </w:rPr>
      <w:pPr>
        <w:snapToGrid w:val="1"/>
      </w:pPr>
    </w:tblStylePr>
  </w:style>
  <w:style w:type="table" w:styleId="92">
    <w:name w:val="Grid Table 6 Colorful - Accent 6"/>
    <w:basedOn w:val="30"/>
    <w:uiPriority w:val="99"/>
    <w:pPr>
      <w:snapToGrid w:val="1"/>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pPr>
        <w:snapToGrid w:val="1"/>
      </w:pPr>
      <w:tcPr>
        <w:shd w:val="clear" w:color="auto" w:fill="FFFFFF" w:themeFill="accent6" w:themeFillTint="34"/>
      </w:tcPr>
    </w:tblStylePr>
    <w:tblStylePr w:type="band1Vert">
      <w:pPr>
        <w:snapToGrid w:val="1"/>
      </w:pPr>
      <w:tcPr>
        <w:shd w:val="clear" w:color="auto" w:fill="FFFFFF" w:themeFill="accent6" w:themeFillTint="34"/>
      </w:tcPr>
    </w:tblStylePr>
    <w:tblStylePr w:type="band2Horz">
      <w:rPr>
        <w:rFonts w:ascii="Arial" w:hAnsi="Arial"/>
        <w:color w:val="404040" w:themeColor="accent5" w:themeShade="95"/>
        <w:sz w:val="22"/>
      </w:rPr>
      <w:pPr>
        <w:snapToGrid w:val="1"/>
      </w:pPr>
    </w:tblStylePr>
    <w:tblStylePr w:type="band2Vert">
      <w:pPr>
        <w:snapToGrid w:val="1"/>
      </w:pPr>
    </w:tblStylePr>
    <w:tblStylePr w:type="firstCol">
      <w:rPr>
        <w:b/>
        <w:color w:val="266777" w:themeColor="accent5" w:themeShade="95"/>
      </w:rPr>
      <w:pPr>
        <w:snapToGrid w:val="1"/>
      </w:pPr>
    </w:tblStylePr>
    <w:tblStylePr w:type="firstRow">
      <w:rPr>
        <w:b/>
        <w:color w:val="266777" w:themeColor="accent5" w:themeShade="95"/>
      </w:rPr>
      <w:pPr>
        <w:snapToGrid w:val="1"/>
      </w:pPr>
      <w:tcPr>
        <w:tcBorders>
          <w:bottom w:val="single" w:color="000000" w:sz="12" w:space="0" w:themeColor="accent6"/>
        </w:tcBorders>
      </w:tcPr>
    </w:tblStylePr>
    <w:tblStylePr w:type="lastCol">
      <w:rPr>
        <w:b/>
        <w:color w:val="266777" w:themeColor="accent5" w:themeShade="95"/>
      </w:rPr>
      <w:pPr>
        <w:snapToGrid w:val="1"/>
      </w:pPr>
    </w:tblStylePr>
    <w:tblStylePr w:type="lastRow">
      <w:rPr>
        <w:b/>
        <w:color w:val="266777" w:themeColor="accent5" w:themeShade="95"/>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404040" w:themeColor="accent5" w:themeShade="95"/>
        <w:sz w:val="22"/>
      </w:rPr>
      <w:pPr>
        <w:snapToGrid w:val="1"/>
      </w:pPr>
    </w:tblStylePr>
  </w:style>
  <w:style w:type="table" w:styleId="93">
    <w:name w:val="Grid Table 7 Colorful"/>
    <w:basedOn w:val="30"/>
    <w:uiPriority w:val="99"/>
    <w:pPr>
      <w:snapToGrid w:val="1"/>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pPr>
        <w:snapToGrid w:val="1"/>
      </w:pPr>
      <w:tcPr>
        <w:shd w:val="clear" w:color="auto" w:fill="FFFFFF" w:themeFill="text1" w:themeFillTint="0D"/>
      </w:tcPr>
    </w:tblStylePr>
    <w:tblStylePr w:type="band1Vert">
      <w:pPr>
        <w:snapToGrid w:val="1"/>
      </w:pPr>
      <w:tcPr>
        <w:shd w:val="clear" w:color="auto" w:fill="FFFFFF" w:themeFill="text1" w:themeFillTint="0D"/>
      </w:tcPr>
    </w:tblStylePr>
    <w:tblStylePr w:type="band2Horz">
      <w:rPr>
        <w:rFonts w:ascii="Arial" w:hAnsi="Arial"/>
        <w:color w:val="4A4A4A" w:themeColor="text1" w:themeTint="80" w:themeShade="95"/>
        <w:sz w:val="22"/>
      </w:rPr>
      <w:pPr>
        <w:snapToGrid w:val="1"/>
      </w:pPr>
    </w:tblStylePr>
    <w:tblStylePr w:type="band2Vert">
      <w:pPr>
        <w:snapToGrid w:val="1"/>
      </w:pPr>
    </w:tblStylePr>
    <w:tblStylePr w:type="firstCol">
      <w:rPr>
        <w:rFonts w:ascii="Arial" w:hAnsi="Arial"/>
        <w:i/>
        <w:color w:val="4A4A4A" w:themeColor="text1" w:themeTint="80" w:themeShade="95"/>
        <w:sz w:val="22"/>
      </w:rPr>
      <w:pPr>
        <w:jc w:val="right"/>
        <w:snapToGrid w:val="1"/>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pPr>
        <w:snapToGrid w:val="1"/>
      </w:p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pPr>
        <w:snapToGrid w:val="1"/>
      </w:p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pPr>
        <w:snapToGrid w:val="1"/>
      </w:pPr>
      <w:tcPr>
        <w:shd w:val="clear" w:color="auto" w:fill="FFFFFF" w:themeFill="light1"/>
        <w:tcBorders>
          <w:left w:val="none"/>
          <w:top w:val="single" w:color="000000" w:sz="4" w:space="0" w:themeColor="text1" w:themeTint="80"/>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94">
    <w:name w:val="Grid Table 7 Colorful - Accent 1"/>
    <w:basedOn w:val="30"/>
    <w:uiPriority w:val="99"/>
    <w:pPr>
      <w:snapToGrid w:val="1"/>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pPr>
        <w:snapToGrid w:val="1"/>
      </w:pPr>
      <w:tcPr>
        <w:shd w:val="clear" w:color="auto" w:fill="FFFFFF" w:themeFill="accent1" w:themeFillTint="34"/>
      </w:tcPr>
    </w:tblStylePr>
    <w:tblStylePr w:type="band1Vert">
      <w:pPr>
        <w:snapToGrid w:val="1"/>
      </w:pPr>
      <w:tcPr>
        <w:shd w:val="clear" w:color="auto" w:fill="FFFFFF" w:themeFill="accent1" w:themeFillTint="34"/>
      </w:tcPr>
    </w:tblStylePr>
    <w:tblStylePr w:type="band2Horz">
      <w:rPr>
        <w:rFonts w:ascii="Arial" w:hAnsi="Arial"/>
        <w:color w:val="3E70A3" w:themeColor="accent1" w:themeTint="80" w:themeShade="95"/>
        <w:sz w:val="22"/>
      </w:rPr>
      <w:pPr>
        <w:snapToGrid w:val="1"/>
      </w:pPr>
    </w:tblStylePr>
    <w:tblStylePr w:type="band2Vert">
      <w:pPr>
        <w:snapToGrid w:val="1"/>
      </w:pPr>
    </w:tblStylePr>
    <w:tblStylePr w:type="firstCol">
      <w:rPr>
        <w:rFonts w:ascii="Arial" w:hAnsi="Arial"/>
        <w:i/>
        <w:color w:val="3E70A3" w:themeColor="accent1" w:themeTint="80" w:themeShade="95"/>
        <w:sz w:val="22"/>
      </w:rPr>
      <w:pPr>
        <w:jc w:val="right"/>
        <w:snapToGrid w:val="1"/>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pPr>
        <w:snapToGrid w:val="1"/>
      </w:p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pPr>
        <w:snapToGrid w:val="1"/>
      </w:p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pPr>
        <w:snapToGrid w:val="1"/>
      </w:pPr>
      <w:tcPr>
        <w:shd w:val="clear" w:color="auto" w:fill="FFFFFF" w:themeFill="light1"/>
        <w:tcBorders>
          <w:left w:val="none"/>
          <w:top w:val="single" w:color="000000" w:sz="4" w:space="0" w:themeColor="accent1" w:themeTint="80"/>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95">
    <w:name w:val="Grid Table 7 Colorful - Accent 2"/>
    <w:basedOn w:val="30"/>
    <w:uiPriority w:val="99"/>
    <w:pPr>
      <w:snapToGrid w:val="1"/>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pPr>
        <w:snapToGrid w:val="1"/>
      </w:pPr>
      <w:tcPr>
        <w:shd w:val="clear" w:color="auto" w:fill="FFFFFF" w:themeFill="accent2" w:themeFillTint="32"/>
      </w:tcPr>
    </w:tblStylePr>
    <w:tblStylePr w:type="band1Vert">
      <w:pPr>
        <w:snapToGrid w:val="1"/>
      </w:pPr>
      <w:tcPr>
        <w:shd w:val="clear" w:color="auto" w:fill="FFFFFF" w:themeFill="accent2" w:themeFillTint="32"/>
      </w:tcPr>
    </w:tblStylePr>
    <w:tblStylePr w:type="band2Horz">
      <w:rPr>
        <w:rFonts w:ascii="Arial" w:hAnsi="Arial"/>
        <w:color w:val="9C3A37" w:themeColor="accent2" w:themeTint="97" w:themeShade="95"/>
        <w:sz w:val="22"/>
      </w:rPr>
      <w:pPr>
        <w:snapToGrid w:val="1"/>
      </w:pPr>
    </w:tblStylePr>
    <w:tblStylePr w:type="band2Vert">
      <w:pPr>
        <w:snapToGrid w:val="1"/>
      </w:pPr>
    </w:tblStylePr>
    <w:tblStylePr w:type="firstCol">
      <w:rPr>
        <w:rFonts w:ascii="Arial" w:hAnsi="Arial"/>
        <w:i/>
        <w:color w:val="9C3A37" w:themeColor="accent2" w:themeTint="97" w:themeShade="95"/>
        <w:sz w:val="22"/>
      </w:rPr>
      <w:pPr>
        <w:jc w:val="right"/>
        <w:snapToGrid w:val="1"/>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pPr>
        <w:snapToGrid w:val="1"/>
      </w:p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pPr>
        <w:snapToGrid w:val="1"/>
      </w:p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pPr>
        <w:snapToGrid w:val="1"/>
      </w:pPr>
      <w:tcPr>
        <w:shd w:val="clear" w:color="auto" w:fill="FFFFFF" w:themeFill="light1"/>
        <w:tcBorders>
          <w:left w:val="none"/>
          <w:top w:val="single" w:color="000000" w:sz="4" w:space="0" w:themeColor="accent2" w:themeTint="97"/>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96">
    <w:name w:val="Grid Table 7 Colorful - Accent 3"/>
    <w:basedOn w:val="30"/>
    <w:uiPriority w:val="99"/>
    <w:pPr>
      <w:snapToGrid w:val="1"/>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pPr>
        <w:snapToGrid w:val="1"/>
      </w:pPr>
      <w:tcPr>
        <w:shd w:val="clear" w:color="auto" w:fill="FFFFFF" w:themeFill="accent3" w:themeFillTint="34"/>
      </w:tcPr>
    </w:tblStylePr>
    <w:tblStylePr w:type="band1Vert">
      <w:pPr>
        <w:snapToGrid w:val="1"/>
      </w:pPr>
      <w:tcPr>
        <w:shd w:val="clear" w:color="auto" w:fill="FFFFFF" w:themeFill="accent3" w:themeFillTint="34"/>
      </w:tcPr>
    </w:tblStylePr>
    <w:tblStylePr w:type="band2Horz">
      <w:rPr>
        <w:rFonts w:ascii="Arial" w:hAnsi="Arial"/>
        <w:color w:val="5C702F" w:themeColor="accent3" w:themeTint="FE" w:themeShade="95"/>
        <w:sz w:val="22"/>
      </w:rPr>
      <w:pPr>
        <w:snapToGrid w:val="1"/>
      </w:pPr>
    </w:tblStylePr>
    <w:tblStylePr w:type="band2Vert">
      <w:pPr>
        <w:snapToGrid w:val="1"/>
      </w:pPr>
    </w:tblStylePr>
    <w:tblStylePr w:type="firstCol">
      <w:rPr>
        <w:rFonts w:ascii="Arial" w:hAnsi="Arial"/>
        <w:i/>
        <w:color w:val="5C702F" w:themeColor="accent3" w:themeTint="FE" w:themeShade="95"/>
        <w:sz w:val="22"/>
      </w:rPr>
      <w:pPr>
        <w:jc w:val="right"/>
        <w:snapToGrid w:val="1"/>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pPr>
        <w:snapToGrid w:val="1"/>
      </w:p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pPr>
        <w:snapToGrid w:val="1"/>
      </w:p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pPr>
        <w:snapToGrid w:val="1"/>
      </w:pPr>
      <w:tcPr>
        <w:shd w:val="clear" w:color="auto" w:fill="FFFFFF" w:themeFill="light1"/>
        <w:tcBorders>
          <w:left w:val="none"/>
          <w:top w:val="single" w:color="000000" w:sz="4" w:space="0" w:themeColor="accent3" w:themeTint="FE"/>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97">
    <w:name w:val="Grid Table 7 Colorful - Accent 4"/>
    <w:basedOn w:val="30"/>
    <w:uiPriority w:val="99"/>
    <w:pPr>
      <w:snapToGrid w:val="1"/>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pPr>
        <w:snapToGrid w:val="1"/>
      </w:pPr>
      <w:tcPr>
        <w:shd w:val="clear" w:color="auto" w:fill="FFFFFF" w:themeFill="accent4" w:themeFillTint="34"/>
      </w:tcPr>
    </w:tblStylePr>
    <w:tblStylePr w:type="band1Vert">
      <w:pPr>
        <w:snapToGrid w:val="1"/>
      </w:pPr>
      <w:tcPr>
        <w:shd w:val="clear" w:color="auto" w:fill="FFFFFF" w:themeFill="accent4" w:themeFillTint="34"/>
      </w:tcPr>
    </w:tblStylePr>
    <w:tblStylePr w:type="band2Horz">
      <w:rPr>
        <w:rFonts w:ascii="Arial" w:hAnsi="Arial"/>
        <w:color w:val="664F82" w:themeColor="accent4" w:themeTint="9A" w:themeShade="95"/>
        <w:sz w:val="22"/>
      </w:rPr>
      <w:pPr>
        <w:snapToGrid w:val="1"/>
      </w:pPr>
    </w:tblStylePr>
    <w:tblStylePr w:type="band2Vert">
      <w:pPr>
        <w:snapToGrid w:val="1"/>
      </w:pPr>
    </w:tblStylePr>
    <w:tblStylePr w:type="firstCol">
      <w:rPr>
        <w:rFonts w:ascii="Arial" w:hAnsi="Arial"/>
        <w:i/>
        <w:color w:val="664F82" w:themeColor="accent4" w:themeTint="9A" w:themeShade="95"/>
        <w:sz w:val="22"/>
      </w:rPr>
      <w:pPr>
        <w:jc w:val="right"/>
        <w:snapToGrid w:val="1"/>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pPr>
        <w:snapToGrid w:val="1"/>
      </w:p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pPr>
        <w:snapToGrid w:val="1"/>
      </w:p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pPr>
        <w:snapToGrid w:val="1"/>
      </w:pPr>
      <w:tcPr>
        <w:shd w:val="clear" w:color="auto" w:fill="FFFFFF" w:themeFill="light1"/>
        <w:tcBorders>
          <w:left w:val="none"/>
          <w:top w:val="single" w:color="000000" w:sz="4" w:space="0" w:themeColor="accent4" w:themeTint="9A"/>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98">
    <w:name w:val="Grid Table 7 Colorful - Accent 5"/>
    <w:basedOn w:val="30"/>
    <w:uiPriority w:val="99"/>
    <w:pPr>
      <w:snapToGrid w:val="1"/>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pPr>
        <w:snapToGrid w:val="1"/>
      </w:pPr>
      <w:tcPr>
        <w:shd w:val="clear" w:color="auto" w:fill="FFFFFF" w:themeFill="accent5" w:themeFillTint="34"/>
      </w:tcPr>
    </w:tblStylePr>
    <w:tblStylePr w:type="band1Vert">
      <w:pPr>
        <w:snapToGrid w:val="1"/>
      </w:pPr>
      <w:tcPr>
        <w:shd w:val="clear" w:color="auto" w:fill="FFFFFF" w:themeFill="accent5" w:themeFillTint="34"/>
      </w:tcPr>
    </w:tblStylePr>
    <w:tblStylePr w:type="band2Horz">
      <w:rPr>
        <w:rFonts w:ascii="Arial" w:hAnsi="Arial"/>
        <w:color w:val="266777" w:themeColor="accent5" w:themeShade="95"/>
        <w:sz w:val="22"/>
      </w:rPr>
      <w:pPr>
        <w:snapToGrid w:val="1"/>
      </w:pPr>
    </w:tblStylePr>
    <w:tblStylePr w:type="band2Vert">
      <w:pPr>
        <w:snapToGrid w:val="1"/>
      </w:pPr>
    </w:tblStylePr>
    <w:tblStylePr w:type="firstCol">
      <w:rPr>
        <w:rFonts w:ascii="Arial" w:hAnsi="Arial"/>
        <w:i/>
        <w:color w:val="266777" w:themeColor="accent5" w:themeShade="95"/>
        <w:sz w:val="22"/>
      </w:rPr>
      <w:pPr>
        <w:jc w:val="right"/>
        <w:snapToGrid w:val="1"/>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pPr>
        <w:snapToGrid w:val="1"/>
      </w:p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pPr>
        <w:snapToGrid w:val="1"/>
      </w:p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pPr>
        <w:snapToGrid w:val="1"/>
      </w:pPr>
      <w:tcPr>
        <w:shd w:val="clear" w:color="auto" w:fill="FFFFFF" w:themeFill="light1"/>
        <w:tcBorders>
          <w:left w:val="none"/>
          <w:top w:val="single" w:color="000000" w:sz="4" w:space="0" w:themeColor="accent5" w:themeTint="90"/>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99">
    <w:name w:val="Grid Table 7 Colorful - Accent 6"/>
    <w:basedOn w:val="30"/>
    <w:uiPriority w:val="99"/>
    <w:pPr>
      <w:snapToGrid w:val="1"/>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pPr>
        <w:snapToGrid w:val="1"/>
      </w:pPr>
      <w:tcPr>
        <w:shd w:val="clear" w:color="auto" w:fill="FFFFFF" w:themeFill="accent6" w:themeFillTint="34"/>
      </w:tcPr>
    </w:tblStylePr>
    <w:tblStylePr w:type="band1Vert">
      <w:pPr>
        <w:snapToGrid w:val="1"/>
      </w:pPr>
      <w:tcPr>
        <w:shd w:val="clear" w:color="auto" w:fill="FFFFFF" w:themeFill="accent6" w:themeFillTint="34"/>
      </w:tcPr>
    </w:tblStylePr>
    <w:tblStylePr w:type="band2Horz">
      <w:rPr>
        <w:rFonts w:ascii="Arial" w:hAnsi="Arial"/>
        <w:color w:val="B05307" w:themeColor="accent6" w:themeShade="95"/>
        <w:sz w:val="22"/>
      </w:rPr>
      <w:pPr>
        <w:snapToGrid w:val="1"/>
      </w:pPr>
    </w:tblStylePr>
    <w:tblStylePr w:type="band2Vert">
      <w:pPr>
        <w:snapToGrid w:val="1"/>
      </w:pPr>
    </w:tblStylePr>
    <w:tblStylePr w:type="firstCol">
      <w:rPr>
        <w:rFonts w:ascii="Arial" w:hAnsi="Arial"/>
        <w:i/>
        <w:color w:val="B05307" w:themeColor="accent6" w:themeShade="95"/>
        <w:sz w:val="22"/>
      </w:rPr>
      <w:pPr>
        <w:jc w:val="right"/>
        <w:snapToGrid w:val="1"/>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pPr>
        <w:snapToGrid w:val="1"/>
      </w:p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pPr>
        <w:snapToGrid w:val="1"/>
      </w:p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pPr>
        <w:snapToGrid w:val="1"/>
      </w:pPr>
      <w:tcPr>
        <w:shd w:val="clear" w:color="auto" w:fill="FFFFFF" w:themeFill="light1"/>
        <w:tcBorders>
          <w:left w:val="none"/>
          <w:top w:val="single" w:color="000000" w:sz="4" w:space="0" w:themeColor="accent6" w:themeTint="90"/>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00">
    <w:name w:val="List Table 1 Light"/>
    <w:basedOn w:val="30"/>
    <w:uiPriority w:val="99"/>
    <w:pPr>
      <w:snapToGrid w:val="1"/>
      <w:spacing w:lineRule="auto" w:line="240" w:after="0"/>
    </w:pPr>
    <w:tblPr>
      <w:tblStyleRowBandSize w:val="1"/>
      <w:tblStyleColBandSize w:val="1"/>
      <w:tblInd w:w="0" w:type="dxa"/>
    </w:tblPr>
    <w:tblStylePr w:type="band1Horz">
      <w:pPr>
        <w:snapToGrid w:val="1"/>
      </w:pPr>
      <w:tcPr>
        <w:shd w:val="clear" w:color="auto" w:fill="FFFFFF" w:themeFill="text1" w:themeFillTint="40"/>
      </w:tcPr>
    </w:tblStylePr>
    <w:tblStylePr w:type="band1Vert">
      <w:pPr>
        <w:snapToGrid w:val="1"/>
      </w:pPr>
      <w:tcPr>
        <w:shd w:val="clear" w:color="auto" w:fill="FFFFFF" w:themeFill="text1"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pPr>
        <w:snapToGrid w:val="1"/>
      </w:pPr>
    </w:tblStylePr>
    <w:tblStylePr w:type="lastRow">
      <w:rPr>
        <w:b/>
        <w:color w:val="404040"/>
      </w:rPr>
      <w:pPr>
        <w:snapToGrid w:val="1"/>
      </w:pPr>
      <w:tcPr>
        <w:tcBorders>
          <w:left w:val="none" w:color="000000" w:sz="4" w:space="0"/>
          <w:top w:val="single" w:color="000000" w:sz="4" w:space="0" w:themeColor="text1"/>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01">
    <w:name w:val="List Table 1 Light - Accent 1"/>
    <w:basedOn w:val="30"/>
    <w:uiPriority w:val="99"/>
    <w:pPr>
      <w:snapToGrid w:val="1"/>
      <w:spacing w:lineRule="auto" w:line="240" w:after="0"/>
    </w:pPr>
    <w:tblPr>
      <w:tblStyleRowBandSize w:val="1"/>
      <w:tblStyleColBandSize w:val="1"/>
      <w:tblInd w:w="0" w:type="dxa"/>
    </w:tblPr>
    <w:tblStylePr w:type="band1Horz">
      <w:pPr>
        <w:snapToGrid w:val="1"/>
      </w:pPr>
      <w:tcPr>
        <w:shd w:val="clear" w:color="auto" w:fill="FFFFFF" w:themeFill="accent1" w:themeFillTint="40"/>
      </w:tcPr>
    </w:tblStylePr>
    <w:tblStylePr w:type="band1Vert">
      <w:pPr>
        <w:snapToGrid w:val="1"/>
      </w:pPr>
      <w:tcPr>
        <w:shd w:val="clear" w:color="auto" w:fill="FFFFFF" w:themeFill="accent1"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pPr>
        <w:snapToGrid w:val="1"/>
      </w:pPr>
    </w:tblStylePr>
    <w:tblStylePr w:type="lastRow">
      <w:rPr>
        <w:b/>
        <w:color w:val="404040"/>
      </w:rPr>
      <w:pPr>
        <w:snapToGrid w:val="1"/>
      </w:pPr>
      <w:tcPr>
        <w:tcBorders>
          <w:left w:val="none" w:color="000000" w:sz="4" w:space="0"/>
          <w:top w:val="single" w:color="000000" w:sz="4" w:space="0" w:themeColor="accent1"/>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02">
    <w:name w:val="List Table 1 Light - Accent 2"/>
    <w:basedOn w:val="30"/>
    <w:uiPriority w:val="99"/>
    <w:pPr>
      <w:snapToGrid w:val="1"/>
      <w:spacing w:lineRule="auto" w:line="240" w:after="0"/>
    </w:pPr>
    <w:tblPr>
      <w:tblStyleRowBandSize w:val="1"/>
      <w:tblStyleColBandSize w:val="1"/>
      <w:tblInd w:w="0" w:type="dxa"/>
    </w:tblPr>
    <w:tblStylePr w:type="band1Horz">
      <w:pPr>
        <w:snapToGrid w:val="1"/>
      </w:pPr>
      <w:tcPr>
        <w:shd w:val="clear" w:color="auto" w:fill="FFFFFF" w:themeFill="accent2" w:themeFillTint="40"/>
      </w:tcPr>
    </w:tblStylePr>
    <w:tblStylePr w:type="band1Vert">
      <w:pPr>
        <w:snapToGrid w:val="1"/>
      </w:pPr>
      <w:tcPr>
        <w:shd w:val="clear" w:color="auto" w:fill="FFFFFF" w:themeFill="accent2"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pPr>
        <w:snapToGrid w:val="1"/>
      </w:pPr>
    </w:tblStylePr>
    <w:tblStylePr w:type="lastRow">
      <w:rPr>
        <w:b/>
        <w:color w:val="404040"/>
      </w:rPr>
      <w:pPr>
        <w:snapToGrid w:val="1"/>
      </w:pPr>
      <w:tcPr>
        <w:tcBorders>
          <w:left w:val="none" w:color="000000" w:sz="4" w:space="0"/>
          <w:top w:val="single" w:color="000000" w:sz="4" w:space="0" w:themeColor="accent2"/>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03">
    <w:name w:val="List Table 1 Light - Accent 3"/>
    <w:basedOn w:val="30"/>
    <w:uiPriority w:val="99"/>
    <w:pPr>
      <w:snapToGrid w:val="1"/>
      <w:spacing w:lineRule="auto" w:line="240" w:after="0"/>
    </w:pPr>
    <w:tblPr>
      <w:tblStyleRowBandSize w:val="1"/>
      <w:tblStyleColBandSize w:val="1"/>
      <w:tblInd w:w="0" w:type="dxa"/>
    </w:tblPr>
    <w:tblStylePr w:type="band1Horz">
      <w:pPr>
        <w:snapToGrid w:val="1"/>
      </w:pPr>
      <w:tcPr>
        <w:shd w:val="clear" w:color="auto" w:fill="FFFFFF" w:themeFill="accent3" w:themeFillTint="40"/>
      </w:tcPr>
    </w:tblStylePr>
    <w:tblStylePr w:type="band1Vert">
      <w:pPr>
        <w:snapToGrid w:val="1"/>
      </w:pPr>
      <w:tcPr>
        <w:shd w:val="clear" w:color="auto" w:fill="FFFFFF" w:themeFill="accent3"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pPr>
        <w:snapToGrid w:val="1"/>
      </w:pPr>
    </w:tblStylePr>
    <w:tblStylePr w:type="lastRow">
      <w:rPr>
        <w:b/>
        <w:color w:val="404040"/>
      </w:rPr>
      <w:pPr>
        <w:snapToGrid w:val="1"/>
      </w:pPr>
      <w:tcPr>
        <w:tcBorders>
          <w:left w:val="none" w:color="000000" w:sz="4" w:space="0"/>
          <w:top w:val="single" w:color="000000" w:sz="4" w:space="0" w:themeColor="accent3"/>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04">
    <w:name w:val="List Table 1 Light - Accent 4"/>
    <w:basedOn w:val="30"/>
    <w:uiPriority w:val="99"/>
    <w:pPr>
      <w:snapToGrid w:val="1"/>
      <w:spacing w:lineRule="auto" w:line="240" w:after="0"/>
    </w:pPr>
    <w:tblPr>
      <w:tblStyleRowBandSize w:val="1"/>
      <w:tblStyleColBandSize w:val="1"/>
      <w:tblInd w:w="0" w:type="dxa"/>
    </w:tblPr>
    <w:tblStylePr w:type="band1Horz">
      <w:pPr>
        <w:snapToGrid w:val="1"/>
      </w:pPr>
      <w:tcPr>
        <w:shd w:val="clear" w:color="auto" w:fill="FFFFFF" w:themeFill="accent4" w:themeFillTint="40"/>
      </w:tcPr>
    </w:tblStylePr>
    <w:tblStylePr w:type="band1Vert">
      <w:pPr>
        <w:snapToGrid w:val="1"/>
      </w:pPr>
      <w:tcPr>
        <w:shd w:val="clear" w:color="auto" w:fill="FFFFFF" w:themeFill="accent4"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pPr>
        <w:snapToGrid w:val="1"/>
      </w:pPr>
    </w:tblStylePr>
    <w:tblStylePr w:type="lastRow">
      <w:rPr>
        <w:b/>
        <w:color w:val="404040"/>
      </w:rPr>
      <w:pPr>
        <w:snapToGrid w:val="1"/>
      </w:pPr>
      <w:tcPr>
        <w:tcBorders>
          <w:left w:val="none" w:color="000000" w:sz="4" w:space="0"/>
          <w:top w:val="single" w:color="000000" w:sz="4" w:space="0" w:themeColor="accent4"/>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05">
    <w:name w:val="List Table 1 Light - Accent 5"/>
    <w:basedOn w:val="30"/>
    <w:uiPriority w:val="99"/>
    <w:pPr>
      <w:snapToGrid w:val="1"/>
      <w:spacing w:lineRule="auto" w:line="240" w:after="0"/>
    </w:pPr>
    <w:tblPr>
      <w:tblStyleRowBandSize w:val="1"/>
      <w:tblStyleColBandSize w:val="1"/>
      <w:tblInd w:w="0" w:type="dxa"/>
    </w:tblPr>
    <w:tblStylePr w:type="band1Horz">
      <w:pPr>
        <w:snapToGrid w:val="1"/>
      </w:pPr>
      <w:tcPr>
        <w:shd w:val="clear" w:color="auto" w:fill="FFFFFF" w:themeFill="accent5" w:themeFillTint="40"/>
      </w:tcPr>
    </w:tblStylePr>
    <w:tblStylePr w:type="band1Vert">
      <w:pPr>
        <w:snapToGrid w:val="1"/>
      </w:pPr>
      <w:tcPr>
        <w:shd w:val="clear" w:color="auto" w:fill="FFFFFF" w:themeFill="accent5"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pPr>
        <w:snapToGrid w:val="1"/>
      </w:pPr>
    </w:tblStylePr>
    <w:tblStylePr w:type="lastRow">
      <w:rPr>
        <w:b/>
        <w:color w:val="404040"/>
      </w:rPr>
      <w:pPr>
        <w:snapToGrid w:val="1"/>
      </w:pPr>
      <w:tcPr>
        <w:tcBorders>
          <w:left w:val="none" w:color="000000" w:sz="4" w:space="0"/>
          <w:top w:val="single" w:color="000000" w:sz="4" w:space="0" w:themeColor="accent5"/>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06">
    <w:name w:val="List Table 1 Light - Accent 6"/>
    <w:basedOn w:val="30"/>
    <w:uiPriority w:val="99"/>
    <w:pPr>
      <w:snapToGrid w:val="1"/>
      <w:spacing w:lineRule="auto" w:line="240" w:after="0"/>
    </w:pPr>
    <w:tblPr>
      <w:tblStyleRowBandSize w:val="1"/>
      <w:tblStyleColBandSize w:val="1"/>
      <w:tblInd w:w="0" w:type="dxa"/>
    </w:tblPr>
    <w:tblStylePr w:type="band1Horz">
      <w:pPr>
        <w:snapToGrid w:val="1"/>
      </w:pPr>
      <w:tcPr>
        <w:shd w:val="clear" w:color="auto" w:fill="FFFFFF" w:themeFill="accent6" w:themeFillTint="40"/>
      </w:tcPr>
    </w:tblStylePr>
    <w:tblStylePr w:type="band1Vert">
      <w:pPr>
        <w:snapToGrid w:val="1"/>
      </w:pPr>
      <w:tcPr>
        <w:shd w:val="clear" w:color="auto" w:fill="FFFFFF" w:themeFill="accent6"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b/>
        <w:color w:val="404040"/>
      </w:rPr>
      <w:pPr>
        <w:snapToGrid w:val="1"/>
      </w:p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pPr>
        <w:snapToGrid w:val="1"/>
      </w:pPr>
    </w:tblStylePr>
    <w:tblStylePr w:type="lastRow">
      <w:rPr>
        <w:b/>
        <w:color w:val="404040"/>
      </w:rPr>
      <w:pPr>
        <w:snapToGrid w:val="1"/>
      </w:pPr>
      <w:tcPr>
        <w:tcBorders>
          <w:left w:val="none" w:color="000000" w:sz="4" w:space="0"/>
          <w:top w:val="single" w:color="000000" w:sz="4" w:space="0" w:themeColor="accent6"/>
          <w:right w:val="none" w:color="000000" w:sz="4" w:space="0"/>
          <w:bottom w:val="none" w:color="000000" w:sz="4" w:space="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07">
    <w:name w:val="List Table 2"/>
    <w:basedOn w:val="30"/>
    <w:uiPriority w:val="99"/>
    <w:pPr>
      <w:snapToGrid w:val="1"/>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pPr>
        <w:snapToGrid w:val="1"/>
      </w:pPr>
      <w:tcPr>
        <w:shd w:val="clear" w:color="auto" w:fill="FFFFFF" w:themeFill="text1" w:themeFillTint="40"/>
      </w:tcPr>
    </w:tblStylePr>
    <w:tblStylePr w:type="band1Vert">
      <w:rPr>
        <w:rFonts w:ascii="Arial" w:hAnsi="Arial"/>
        <w:color w:val="404040"/>
        <w:sz w:val="22"/>
      </w:rPr>
      <w:pPr>
        <w:snapToGrid w:val="1"/>
      </w:pPr>
      <w:tcPr>
        <w:shd w:val="clear" w:color="auto" w:fill="FFFFFF" w:themeFill="text1" w:themeFillTint="40"/>
      </w:tcPr>
    </w:tblStylePr>
    <w:tblStylePr w:type="band2Horz">
      <w:pPr>
        <w:snapToGrid w:val="1"/>
      </w:pPr>
    </w:tblStylePr>
    <w:tblStylePr w:type="band2Vert">
      <w:pPr>
        <w:snapToGrid w:val="1"/>
      </w:pPr>
    </w:tblStylePr>
    <w:tblStylePr w:type="firstCol">
      <w:rPr>
        <w:rFonts w:ascii="Arial" w:hAnsi="Arial"/>
        <w:b/>
        <w:color w:val="404040"/>
        <w:sz w:val="22"/>
      </w:rPr>
      <w:pPr>
        <w:snapToGrid w:val="1"/>
      </w:pPr>
    </w:tblStylePr>
    <w:tblStylePr w:type="firstRow">
      <w:rPr>
        <w:rFonts w:ascii="Arial" w:hAnsi="Arial"/>
        <w:b/>
        <w:color w:val="404040"/>
        <w:sz w:val="22"/>
      </w:rPr>
      <w:pPr>
        <w:snapToGrid w:val="1"/>
      </w:p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pPr>
        <w:snapToGrid w:val="1"/>
      </w:pPr>
    </w:tblStylePr>
    <w:tblStylePr w:type="lastRow">
      <w:rPr>
        <w:rFonts w:ascii="Arial" w:hAnsi="Arial"/>
        <w:b/>
        <w:color w:val="404040"/>
        <w:sz w:val="22"/>
      </w:rPr>
      <w:pPr>
        <w:snapToGrid w:val="1"/>
      </w:p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08">
    <w:name w:val="List Table 2 - Accent 1"/>
    <w:basedOn w:val="30"/>
    <w:uiPriority w:val="99"/>
    <w:pPr>
      <w:snapToGrid w:val="1"/>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pPr>
        <w:snapToGrid w:val="1"/>
      </w:pPr>
      <w:tcPr>
        <w:shd w:val="clear" w:color="auto" w:fill="FFFFFF" w:themeFill="accent1" w:themeFillTint="40"/>
      </w:tcPr>
    </w:tblStylePr>
    <w:tblStylePr w:type="band1Vert">
      <w:rPr>
        <w:rFonts w:ascii="Arial" w:hAnsi="Arial"/>
        <w:color w:val="404040"/>
        <w:sz w:val="22"/>
      </w:rPr>
      <w:pPr>
        <w:snapToGrid w:val="1"/>
      </w:pPr>
      <w:tcPr>
        <w:shd w:val="clear" w:color="auto" w:fill="FFFFFF" w:themeFill="accent1" w:themeFillTint="40"/>
      </w:tcPr>
    </w:tblStylePr>
    <w:tblStylePr w:type="band2Horz">
      <w:pPr>
        <w:snapToGrid w:val="1"/>
      </w:pPr>
    </w:tblStylePr>
    <w:tblStylePr w:type="band2Vert">
      <w:pPr>
        <w:snapToGrid w:val="1"/>
      </w:pPr>
    </w:tblStylePr>
    <w:tblStylePr w:type="firstCol">
      <w:rPr>
        <w:rFonts w:ascii="Arial" w:hAnsi="Arial"/>
        <w:b/>
        <w:color w:val="404040"/>
        <w:sz w:val="22"/>
      </w:rPr>
      <w:pPr>
        <w:snapToGrid w:val="1"/>
      </w:pPr>
    </w:tblStylePr>
    <w:tblStylePr w:type="firstRow">
      <w:rPr>
        <w:rFonts w:ascii="Arial" w:hAnsi="Arial"/>
        <w:b/>
        <w:color w:val="404040"/>
        <w:sz w:val="22"/>
      </w:rPr>
      <w:pPr>
        <w:snapToGrid w:val="1"/>
      </w:p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pPr>
        <w:snapToGrid w:val="1"/>
      </w:pPr>
    </w:tblStylePr>
    <w:tblStylePr w:type="lastRow">
      <w:rPr>
        <w:rFonts w:ascii="Arial" w:hAnsi="Arial"/>
        <w:b/>
        <w:color w:val="404040"/>
        <w:sz w:val="22"/>
      </w:rPr>
      <w:pPr>
        <w:snapToGrid w:val="1"/>
      </w:p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09">
    <w:name w:val="List Table 2 - Accent 2"/>
    <w:basedOn w:val="30"/>
    <w:uiPriority w:val="99"/>
    <w:pPr>
      <w:snapToGrid w:val="1"/>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pPr>
        <w:snapToGrid w:val="1"/>
      </w:pPr>
      <w:tcPr>
        <w:shd w:val="clear" w:color="auto" w:fill="FFFFFF" w:themeFill="accent2" w:themeFillTint="40"/>
      </w:tcPr>
    </w:tblStylePr>
    <w:tblStylePr w:type="band1Vert">
      <w:rPr>
        <w:rFonts w:ascii="Arial" w:hAnsi="Arial"/>
        <w:color w:val="404040"/>
        <w:sz w:val="22"/>
      </w:rPr>
      <w:pPr>
        <w:snapToGrid w:val="1"/>
      </w:pPr>
      <w:tcPr>
        <w:shd w:val="clear" w:color="auto" w:fill="FFFFFF" w:themeFill="accent2" w:themeFillTint="40"/>
      </w:tcPr>
    </w:tblStylePr>
    <w:tblStylePr w:type="band2Horz">
      <w:pPr>
        <w:snapToGrid w:val="1"/>
      </w:pPr>
    </w:tblStylePr>
    <w:tblStylePr w:type="band2Vert">
      <w:pPr>
        <w:snapToGrid w:val="1"/>
      </w:pPr>
    </w:tblStylePr>
    <w:tblStylePr w:type="firstCol">
      <w:rPr>
        <w:rFonts w:ascii="Arial" w:hAnsi="Arial"/>
        <w:b/>
        <w:color w:val="404040"/>
        <w:sz w:val="22"/>
      </w:rPr>
      <w:pPr>
        <w:snapToGrid w:val="1"/>
      </w:pPr>
    </w:tblStylePr>
    <w:tblStylePr w:type="firstRow">
      <w:rPr>
        <w:rFonts w:ascii="Arial" w:hAnsi="Arial"/>
        <w:b/>
        <w:color w:val="404040"/>
        <w:sz w:val="22"/>
      </w:rPr>
      <w:pPr>
        <w:snapToGrid w:val="1"/>
      </w:p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pPr>
        <w:snapToGrid w:val="1"/>
      </w:pPr>
    </w:tblStylePr>
    <w:tblStylePr w:type="lastRow">
      <w:rPr>
        <w:rFonts w:ascii="Arial" w:hAnsi="Arial"/>
        <w:b/>
        <w:color w:val="404040"/>
        <w:sz w:val="22"/>
      </w:rPr>
      <w:pPr>
        <w:snapToGrid w:val="1"/>
      </w:p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10">
    <w:name w:val="List Table 2 - Accent 3"/>
    <w:basedOn w:val="30"/>
    <w:uiPriority w:val="99"/>
    <w:pPr>
      <w:snapToGrid w:val="1"/>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pPr>
        <w:snapToGrid w:val="1"/>
      </w:pPr>
      <w:tcPr>
        <w:shd w:val="clear" w:color="auto" w:fill="FFFFFF" w:themeFill="accent3" w:themeFillTint="40"/>
      </w:tcPr>
    </w:tblStylePr>
    <w:tblStylePr w:type="band1Vert">
      <w:rPr>
        <w:rFonts w:ascii="Arial" w:hAnsi="Arial"/>
        <w:color w:val="404040"/>
        <w:sz w:val="22"/>
      </w:rPr>
      <w:pPr>
        <w:snapToGrid w:val="1"/>
      </w:pPr>
      <w:tcPr>
        <w:shd w:val="clear" w:color="auto" w:fill="FFFFFF" w:themeFill="accent3" w:themeFillTint="40"/>
      </w:tcPr>
    </w:tblStylePr>
    <w:tblStylePr w:type="band2Horz">
      <w:pPr>
        <w:snapToGrid w:val="1"/>
      </w:pPr>
    </w:tblStylePr>
    <w:tblStylePr w:type="band2Vert">
      <w:pPr>
        <w:snapToGrid w:val="1"/>
      </w:pPr>
    </w:tblStylePr>
    <w:tblStylePr w:type="firstCol">
      <w:rPr>
        <w:rFonts w:ascii="Arial" w:hAnsi="Arial"/>
        <w:b/>
        <w:color w:val="404040"/>
        <w:sz w:val="22"/>
      </w:rPr>
      <w:pPr>
        <w:snapToGrid w:val="1"/>
      </w:pPr>
    </w:tblStylePr>
    <w:tblStylePr w:type="firstRow">
      <w:rPr>
        <w:rFonts w:ascii="Arial" w:hAnsi="Arial"/>
        <w:b/>
        <w:color w:val="404040"/>
        <w:sz w:val="22"/>
      </w:rPr>
      <w:pPr>
        <w:snapToGrid w:val="1"/>
      </w:p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pPr>
        <w:snapToGrid w:val="1"/>
      </w:pPr>
    </w:tblStylePr>
    <w:tblStylePr w:type="lastRow">
      <w:rPr>
        <w:rFonts w:ascii="Arial" w:hAnsi="Arial"/>
        <w:b/>
        <w:color w:val="404040"/>
        <w:sz w:val="22"/>
      </w:rPr>
      <w:pPr>
        <w:snapToGrid w:val="1"/>
      </w:p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11">
    <w:name w:val="List Table 2 - Accent 4"/>
    <w:basedOn w:val="30"/>
    <w:uiPriority w:val="99"/>
    <w:pPr>
      <w:snapToGrid w:val="1"/>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pPr>
        <w:snapToGrid w:val="1"/>
      </w:pPr>
      <w:tcPr>
        <w:shd w:val="clear" w:color="auto" w:fill="FFFFFF" w:themeFill="accent4" w:themeFillTint="40"/>
      </w:tcPr>
    </w:tblStylePr>
    <w:tblStylePr w:type="band1Vert">
      <w:rPr>
        <w:rFonts w:ascii="Arial" w:hAnsi="Arial"/>
        <w:color w:val="404040"/>
        <w:sz w:val="22"/>
      </w:rPr>
      <w:pPr>
        <w:snapToGrid w:val="1"/>
      </w:pPr>
      <w:tcPr>
        <w:shd w:val="clear" w:color="auto" w:fill="FFFFFF" w:themeFill="accent4" w:themeFillTint="40"/>
      </w:tcPr>
    </w:tblStylePr>
    <w:tblStylePr w:type="band2Horz">
      <w:pPr>
        <w:snapToGrid w:val="1"/>
      </w:pPr>
    </w:tblStylePr>
    <w:tblStylePr w:type="band2Vert">
      <w:pPr>
        <w:snapToGrid w:val="1"/>
      </w:pPr>
    </w:tblStylePr>
    <w:tblStylePr w:type="firstCol">
      <w:rPr>
        <w:rFonts w:ascii="Arial" w:hAnsi="Arial"/>
        <w:b/>
        <w:color w:val="404040"/>
        <w:sz w:val="22"/>
      </w:rPr>
      <w:pPr>
        <w:snapToGrid w:val="1"/>
      </w:pPr>
    </w:tblStylePr>
    <w:tblStylePr w:type="firstRow">
      <w:rPr>
        <w:rFonts w:ascii="Arial" w:hAnsi="Arial"/>
        <w:b/>
        <w:color w:val="404040"/>
        <w:sz w:val="22"/>
      </w:rPr>
      <w:pPr>
        <w:snapToGrid w:val="1"/>
      </w:p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pPr>
        <w:snapToGrid w:val="1"/>
      </w:pPr>
    </w:tblStylePr>
    <w:tblStylePr w:type="lastRow">
      <w:rPr>
        <w:rFonts w:ascii="Arial" w:hAnsi="Arial"/>
        <w:b/>
        <w:color w:val="404040"/>
        <w:sz w:val="22"/>
      </w:rPr>
      <w:pPr>
        <w:snapToGrid w:val="1"/>
      </w:p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12">
    <w:name w:val="List Table 2 - Accent 5"/>
    <w:basedOn w:val="30"/>
    <w:uiPriority w:val="99"/>
    <w:pPr>
      <w:snapToGrid w:val="1"/>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pPr>
        <w:snapToGrid w:val="1"/>
      </w:pPr>
      <w:tcPr>
        <w:shd w:val="clear" w:color="auto" w:fill="FFFFFF" w:themeFill="accent5" w:themeFillTint="40"/>
      </w:tcPr>
    </w:tblStylePr>
    <w:tblStylePr w:type="band1Vert">
      <w:rPr>
        <w:rFonts w:ascii="Arial" w:hAnsi="Arial"/>
        <w:color w:val="404040"/>
        <w:sz w:val="22"/>
      </w:rPr>
      <w:pPr>
        <w:snapToGrid w:val="1"/>
      </w:pPr>
      <w:tcPr>
        <w:shd w:val="clear" w:color="auto" w:fill="FFFFFF" w:themeFill="accent5" w:themeFillTint="40"/>
      </w:tcPr>
    </w:tblStylePr>
    <w:tblStylePr w:type="band2Horz">
      <w:pPr>
        <w:snapToGrid w:val="1"/>
      </w:pPr>
    </w:tblStylePr>
    <w:tblStylePr w:type="band2Vert">
      <w:pPr>
        <w:snapToGrid w:val="1"/>
      </w:pPr>
    </w:tblStylePr>
    <w:tblStylePr w:type="firstCol">
      <w:rPr>
        <w:rFonts w:ascii="Arial" w:hAnsi="Arial"/>
        <w:b/>
        <w:color w:val="404040"/>
        <w:sz w:val="22"/>
      </w:rPr>
      <w:pPr>
        <w:snapToGrid w:val="1"/>
      </w:pPr>
    </w:tblStylePr>
    <w:tblStylePr w:type="firstRow">
      <w:rPr>
        <w:rFonts w:ascii="Arial" w:hAnsi="Arial"/>
        <w:b/>
        <w:color w:val="404040"/>
        <w:sz w:val="22"/>
      </w:rPr>
      <w:pPr>
        <w:snapToGrid w:val="1"/>
      </w:p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pPr>
        <w:snapToGrid w:val="1"/>
      </w:pPr>
    </w:tblStylePr>
    <w:tblStylePr w:type="lastRow">
      <w:rPr>
        <w:rFonts w:ascii="Arial" w:hAnsi="Arial"/>
        <w:b/>
        <w:color w:val="404040"/>
        <w:sz w:val="22"/>
      </w:rPr>
      <w:pPr>
        <w:snapToGrid w:val="1"/>
      </w:p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13">
    <w:name w:val="List Table 2 - Accent 6"/>
    <w:basedOn w:val="30"/>
    <w:uiPriority w:val="99"/>
    <w:pPr>
      <w:snapToGrid w:val="1"/>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pPr>
        <w:snapToGrid w:val="1"/>
      </w:pPr>
      <w:tcPr>
        <w:shd w:val="clear" w:color="auto" w:fill="FFFFFF" w:themeFill="accent6" w:themeFillTint="40"/>
      </w:tcPr>
    </w:tblStylePr>
    <w:tblStylePr w:type="band1Vert">
      <w:rPr>
        <w:rFonts w:ascii="Arial" w:hAnsi="Arial"/>
        <w:color w:val="404040"/>
        <w:sz w:val="22"/>
      </w:rPr>
      <w:pPr>
        <w:snapToGrid w:val="1"/>
      </w:pPr>
      <w:tcPr>
        <w:shd w:val="clear" w:color="auto" w:fill="FFFFFF" w:themeFill="accent6" w:themeFillTint="40"/>
      </w:tcPr>
    </w:tblStylePr>
    <w:tblStylePr w:type="band2Horz">
      <w:pPr>
        <w:snapToGrid w:val="1"/>
      </w:pPr>
    </w:tblStylePr>
    <w:tblStylePr w:type="band2Vert">
      <w:pPr>
        <w:snapToGrid w:val="1"/>
      </w:pPr>
    </w:tblStylePr>
    <w:tblStylePr w:type="firstCol">
      <w:rPr>
        <w:rFonts w:ascii="Arial" w:hAnsi="Arial"/>
        <w:b/>
        <w:color w:val="404040"/>
        <w:sz w:val="22"/>
      </w:rPr>
      <w:pPr>
        <w:snapToGrid w:val="1"/>
      </w:pPr>
    </w:tblStylePr>
    <w:tblStylePr w:type="firstRow">
      <w:rPr>
        <w:rFonts w:ascii="Arial" w:hAnsi="Arial"/>
        <w:b/>
        <w:color w:val="404040"/>
        <w:sz w:val="22"/>
      </w:rPr>
      <w:pPr>
        <w:snapToGrid w:val="1"/>
      </w:p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pPr>
        <w:snapToGrid w:val="1"/>
      </w:pPr>
    </w:tblStylePr>
    <w:tblStylePr w:type="lastRow">
      <w:rPr>
        <w:rFonts w:ascii="Arial" w:hAnsi="Arial"/>
        <w:b/>
        <w:color w:val="404040"/>
        <w:sz w:val="22"/>
      </w:rPr>
      <w:pPr>
        <w:snapToGrid w:val="1"/>
      </w:p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14">
    <w:name w:val="List Table 3"/>
    <w:basedOn w:val="30"/>
    <w:uiPriority w:val="99"/>
    <w:pPr>
      <w:snapToGrid w:val="1"/>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pPr>
        <w:snapToGrid w:val="1"/>
      </w:pPr>
      <w:tcPr>
        <w:tcBorders>
          <w:top w:val="single" w:color="000000" w:sz="4" w:space="0" w:themeColor="text1"/>
          <w:bottom w:val="single" w:color="000000" w:sz="4" w:space="0" w:themeColor="text1"/>
        </w:tcBorders>
      </w:tcPr>
    </w:tblStylePr>
    <w:tblStylePr w:type="band1Vert">
      <w:rPr>
        <w:rFonts w:ascii="Arial" w:hAnsi="Arial"/>
        <w:color w:val="404040"/>
        <w:sz w:val="22"/>
      </w:rPr>
      <w:pPr>
        <w:snapToGrid w:val="1"/>
      </w:pPr>
      <w:tcPr>
        <w:tcBorders>
          <w:left w:val="single" w:color="000000" w:sz="4" w:space="0" w:themeColor="text1"/>
          <w:right w:val="single" w:color="000000" w:sz="4" w:space="0" w:themeColor="text1"/>
        </w:tcBorders>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text1"/>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15">
    <w:name w:val="List Table 3 - Accent 1"/>
    <w:basedOn w:val="30"/>
    <w:uiPriority w:val="99"/>
    <w:pPr>
      <w:snapToGrid w:val="1"/>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pPr>
        <w:snapToGrid w:val="1"/>
      </w:pPr>
      <w:tcPr>
        <w:tcBorders>
          <w:top w:val="single" w:color="000000" w:sz="4" w:space="0" w:themeColor="accent1"/>
          <w:bottom w:val="single" w:color="000000" w:sz="4" w:space="0" w:themeColor="accent1"/>
        </w:tcBorders>
      </w:tcPr>
    </w:tblStylePr>
    <w:tblStylePr w:type="band1Vert">
      <w:rPr>
        <w:rFonts w:ascii="Arial" w:hAnsi="Arial"/>
        <w:color w:val="404040"/>
        <w:sz w:val="22"/>
      </w:rPr>
      <w:pPr>
        <w:snapToGrid w:val="1"/>
      </w:pPr>
      <w:tcPr>
        <w:tcBorders>
          <w:left w:val="single" w:color="000000" w:sz="4" w:space="0" w:themeColor="accent1"/>
          <w:right w:val="single" w:color="000000" w:sz="4" w:space="0" w:themeColor="accent1"/>
        </w:tcBorders>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1"/>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16">
    <w:name w:val="List Table 3 - Accent 2"/>
    <w:basedOn w:val="30"/>
    <w:uiPriority w:val="99"/>
    <w:pPr>
      <w:snapToGrid w:val="1"/>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pPr>
        <w:snapToGrid w:val="1"/>
      </w:p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pPr>
        <w:snapToGrid w:val="1"/>
      </w:pPr>
      <w:tcPr>
        <w:tcBorders>
          <w:left w:val="single" w:color="000000" w:sz="4" w:space="0" w:themeColor="accent2" w:themeTint="97"/>
          <w:right w:val="single" w:color="000000" w:sz="4" w:space="0" w:themeColor="accent2" w:themeTint="97"/>
        </w:tcBorders>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2" w:themeFillTint="97"/>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17">
    <w:name w:val="List Table 3 - Accent 3"/>
    <w:basedOn w:val="30"/>
    <w:uiPriority w:val="99"/>
    <w:pPr>
      <w:snapToGrid w:val="1"/>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pPr>
        <w:snapToGrid w:val="1"/>
      </w:p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pPr>
        <w:snapToGrid w:val="1"/>
      </w:pPr>
      <w:tcPr>
        <w:tcBorders>
          <w:left w:val="single" w:color="000000" w:sz="4" w:space="0" w:themeColor="accent3" w:themeTint="98"/>
          <w:right w:val="single" w:color="000000" w:sz="4" w:space="0" w:themeColor="accent3" w:themeTint="98"/>
        </w:tcBorders>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3" w:themeFillTint="98"/>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18">
    <w:name w:val="List Table 3 - Accent 4"/>
    <w:basedOn w:val="30"/>
    <w:uiPriority w:val="99"/>
    <w:pPr>
      <w:snapToGrid w:val="1"/>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pPr>
        <w:snapToGrid w:val="1"/>
      </w:p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pPr>
        <w:snapToGrid w:val="1"/>
      </w:pPr>
      <w:tcPr>
        <w:tcBorders>
          <w:left w:val="single" w:color="000000" w:sz="4" w:space="0" w:themeColor="accent4" w:themeTint="9A"/>
          <w:right w:val="single" w:color="000000" w:sz="4" w:space="0" w:themeColor="accent4" w:themeTint="9A"/>
        </w:tcBorders>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4" w:themeFillTint="9A"/>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19">
    <w:name w:val="List Table 3 - Accent 5"/>
    <w:basedOn w:val="30"/>
    <w:uiPriority w:val="99"/>
    <w:pPr>
      <w:snapToGrid w:val="1"/>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pPr>
        <w:snapToGrid w:val="1"/>
      </w:p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pPr>
        <w:snapToGrid w:val="1"/>
      </w:pPr>
      <w:tcPr>
        <w:tcBorders>
          <w:left w:val="single" w:color="000000" w:sz="4" w:space="0" w:themeColor="accent5" w:themeTint="9A"/>
          <w:right w:val="single" w:color="000000" w:sz="4" w:space="0" w:themeColor="accent5" w:themeTint="9A"/>
        </w:tcBorders>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5" w:themeFillTint="9A"/>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20">
    <w:name w:val="List Table 3 - Accent 6"/>
    <w:basedOn w:val="30"/>
    <w:uiPriority w:val="99"/>
    <w:pPr>
      <w:snapToGrid w:val="1"/>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pPr>
        <w:snapToGrid w:val="1"/>
      </w:p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pPr>
        <w:snapToGrid w:val="1"/>
      </w:pPr>
      <w:tcPr>
        <w:tcBorders>
          <w:left w:val="single" w:color="000000" w:sz="4" w:space="0" w:themeColor="accent6" w:themeTint="98"/>
          <w:right w:val="single" w:color="000000" w:sz="4" w:space="0" w:themeColor="accent6" w:themeTint="98"/>
        </w:tcBorders>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6" w:themeFillTint="98"/>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21">
    <w:name w:val="List Table 4"/>
    <w:basedOn w:val="30"/>
    <w:uiPriority w:val="99"/>
    <w:pPr>
      <w:snapToGrid w:val="1"/>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pPr>
        <w:snapToGrid w:val="1"/>
      </w:pPr>
      <w:tcPr>
        <w:shd w:val="clear" w:color="auto" w:fill="FFFFFF" w:themeFill="text1" w:themeFillTint="40"/>
      </w:tcPr>
    </w:tblStylePr>
    <w:tblStylePr w:type="band1Vert">
      <w:rPr>
        <w:rFonts w:ascii="Arial" w:hAnsi="Arial"/>
        <w:color w:val="404040"/>
        <w:sz w:val="22"/>
      </w:rPr>
      <w:pPr>
        <w:snapToGrid w:val="1"/>
      </w:pPr>
      <w:tcPr>
        <w:shd w:val="clear" w:color="auto" w:fill="FFFFFF" w:themeFill="text1"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text1"/>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22">
    <w:name w:val="List Table 4 - Accent 1"/>
    <w:basedOn w:val="30"/>
    <w:uiPriority w:val="99"/>
    <w:pPr>
      <w:snapToGrid w:val="1"/>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pPr>
        <w:snapToGrid w:val="1"/>
      </w:pPr>
      <w:tcPr>
        <w:shd w:val="clear" w:color="auto" w:fill="FFFFFF" w:themeFill="accent1" w:themeFillTint="40"/>
      </w:tcPr>
    </w:tblStylePr>
    <w:tblStylePr w:type="band1Vert">
      <w:rPr>
        <w:rFonts w:ascii="Arial" w:hAnsi="Arial"/>
        <w:color w:val="404040"/>
        <w:sz w:val="22"/>
      </w:rPr>
      <w:pPr>
        <w:snapToGrid w:val="1"/>
      </w:pPr>
      <w:tcPr>
        <w:shd w:val="clear" w:color="auto" w:fill="FFFFFF" w:themeFill="accent1"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1"/>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23">
    <w:name w:val="List Table 4 - Accent 2"/>
    <w:basedOn w:val="30"/>
    <w:uiPriority w:val="99"/>
    <w:pPr>
      <w:snapToGrid w:val="1"/>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pPr>
        <w:snapToGrid w:val="1"/>
      </w:pPr>
      <w:tcPr>
        <w:shd w:val="clear" w:color="auto" w:fill="FFFFFF" w:themeFill="accent2" w:themeFillTint="40"/>
      </w:tcPr>
    </w:tblStylePr>
    <w:tblStylePr w:type="band1Vert">
      <w:rPr>
        <w:rFonts w:ascii="Arial" w:hAnsi="Arial"/>
        <w:color w:val="404040"/>
        <w:sz w:val="22"/>
      </w:rPr>
      <w:pPr>
        <w:snapToGrid w:val="1"/>
      </w:pPr>
      <w:tcPr>
        <w:shd w:val="clear" w:color="auto" w:fill="FFFFFF" w:themeFill="accent2"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2"/>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24">
    <w:name w:val="List Table 4 - Accent 3"/>
    <w:basedOn w:val="30"/>
    <w:uiPriority w:val="99"/>
    <w:pPr>
      <w:snapToGrid w:val="1"/>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pPr>
        <w:snapToGrid w:val="1"/>
      </w:pPr>
      <w:tcPr>
        <w:shd w:val="clear" w:color="auto" w:fill="FFFFFF" w:themeFill="accent3" w:themeFillTint="40"/>
      </w:tcPr>
    </w:tblStylePr>
    <w:tblStylePr w:type="band1Vert">
      <w:rPr>
        <w:rFonts w:ascii="Arial" w:hAnsi="Arial"/>
        <w:color w:val="404040"/>
        <w:sz w:val="22"/>
      </w:rPr>
      <w:pPr>
        <w:snapToGrid w:val="1"/>
      </w:pPr>
      <w:tcPr>
        <w:shd w:val="clear" w:color="auto" w:fill="FFFFFF" w:themeFill="accent3"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3"/>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25">
    <w:name w:val="List Table 4 - Accent 4"/>
    <w:basedOn w:val="30"/>
    <w:uiPriority w:val="99"/>
    <w:pPr>
      <w:snapToGrid w:val="1"/>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pPr>
        <w:snapToGrid w:val="1"/>
      </w:pPr>
      <w:tcPr>
        <w:shd w:val="clear" w:color="auto" w:fill="FFFFFF" w:themeFill="accent4" w:themeFillTint="40"/>
      </w:tcPr>
    </w:tblStylePr>
    <w:tblStylePr w:type="band1Vert">
      <w:rPr>
        <w:rFonts w:ascii="Arial" w:hAnsi="Arial"/>
        <w:color w:val="404040"/>
        <w:sz w:val="22"/>
      </w:rPr>
      <w:pPr>
        <w:snapToGrid w:val="1"/>
      </w:pPr>
      <w:tcPr>
        <w:shd w:val="clear" w:color="auto" w:fill="FFFFFF" w:themeFill="accent4"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4"/>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26">
    <w:name w:val="List Table 4 - Accent 5"/>
    <w:basedOn w:val="30"/>
    <w:uiPriority w:val="99"/>
    <w:pPr>
      <w:snapToGrid w:val="1"/>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pPr>
        <w:snapToGrid w:val="1"/>
      </w:pPr>
      <w:tcPr>
        <w:shd w:val="clear" w:color="auto" w:fill="FFFFFF" w:themeFill="accent5" w:themeFillTint="40"/>
      </w:tcPr>
    </w:tblStylePr>
    <w:tblStylePr w:type="band1Vert">
      <w:rPr>
        <w:rFonts w:ascii="Arial" w:hAnsi="Arial"/>
        <w:color w:val="404040"/>
        <w:sz w:val="22"/>
      </w:rPr>
      <w:pPr>
        <w:snapToGrid w:val="1"/>
      </w:pPr>
      <w:tcPr>
        <w:shd w:val="clear" w:color="auto" w:fill="FFFFFF" w:themeFill="accent5"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5"/>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27">
    <w:name w:val="List Table 4 - Accent 6"/>
    <w:basedOn w:val="30"/>
    <w:uiPriority w:val="99"/>
    <w:pPr>
      <w:snapToGrid w:val="1"/>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pPr>
        <w:snapToGrid w:val="1"/>
      </w:pPr>
      <w:tcPr>
        <w:shd w:val="clear" w:color="auto" w:fill="FFFFFF" w:themeFill="accent6" w:themeFillTint="40"/>
      </w:tcPr>
    </w:tblStylePr>
    <w:tblStylePr w:type="band1Vert">
      <w:rPr>
        <w:rFonts w:ascii="Arial" w:hAnsi="Arial"/>
        <w:color w:val="404040"/>
        <w:sz w:val="22"/>
      </w:rPr>
      <w:pPr>
        <w:snapToGrid w:val="1"/>
      </w:pPr>
      <w:tcPr>
        <w:shd w:val="clear" w:color="auto" w:fill="FFFFFF" w:themeFill="accent6" w:themeFillTint="40"/>
      </w:tcPr>
    </w:tblStylePr>
    <w:tblStylePr w:type="band2Horz">
      <w:pPr>
        <w:snapToGrid w:val="1"/>
      </w:pPr>
    </w:tblStylePr>
    <w:tblStylePr w:type="band2Vert">
      <w:pPr>
        <w:snapToGrid w:val="1"/>
      </w:pPr>
    </w:tblStylePr>
    <w:tblStylePr w:type="firstCol">
      <w:rPr>
        <w:b/>
        <w:color w:val="404040"/>
      </w:rPr>
      <w:pPr>
        <w:snapToGrid w:val="1"/>
      </w:pPr>
    </w:tblStylePr>
    <w:tblStylePr w:type="firstRow">
      <w:rPr>
        <w:rFonts w:ascii="Arial" w:hAnsi="Arial"/>
        <w:b/>
        <w:color w:val="FFFFFF"/>
        <w:sz w:val="22"/>
      </w:rPr>
      <w:pPr>
        <w:snapToGrid w:val="1"/>
      </w:pPr>
      <w:tcPr>
        <w:shd w:val="clear" w:color="auto" w:fill="FFFFFF" w:themeFill="accent6"/>
      </w:tcPr>
    </w:tblStylePr>
    <w:tblStylePr w:type="lastCol">
      <w:rPr>
        <w:b/>
        <w:color w:val="404040"/>
      </w:rPr>
      <w:pPr>
        <w:snapToGrid w:val="1"/>
      </w:pPr>
    </w:tblStylePr>
    <w:tblStylePr w:type="lastRow">
      <w:rPr>
        <w:b/>
        <w:color w:val="404040"/>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28">
    <w:name w:val="List Table 5 Dark"/>
    <w:basedOn w:val="30"/>
    <w:uiPriority w:val="99"/>
    <w:pPr>
      <w:snapToGrid w:val="1"/>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pPr>
        <w:snapToGrid w:val="1"/>
      </w:pPr>
      <w:tcPr>
        <w:shd w:val="clear" w:color="auto" w:fill="FFFFFF" w:themeFill="text1" w:themeFillTint="80"/>
        <w:tcBorders>
          <w:top w:val="single" w:color="000000" w:sz="4" w:space="0" w:themeColor="light1"/>
          <w:bottom w:val="single" w:color="000000" w:sz="4" w:space="0" w:themeColor="light1"/>
        </w:tcBorders>
      </w:tcPr>
    </w:tblStylePr>
    <w:tblStylePr w:type="band1Vert">
      <w:pPr>
        <w:snapToGrid w:val="1"/>
      </w:pPr>
      <w:tcPr>
        <w:shd w:val="clear" w:color="auto" w:fill="FFFFFF" w:themeFill="text1" w:themeFillTint="80"/>
        <w:tcBorders>
          <w:left w:val="single" w:color="000000" w:sz="4" w:space="0" w:themeColor="light1"/>
          <w:right w:val="single" w:color="000000" w:sz="4" w:space="0" w:themeColor="light1"/>
        </w:tcBorders>
      </w:tcPr>
    </w:tblStylePr>
    <w:tblStylePr w:type="band2Horz">
      <w:pPr>
        <w:snapToGrid w:val="1"/>
      </w:pPr>
      <w:tcPr>
        <w:shd w:val="clear" w:color="auto" w:fill="FFFFFF" w:themeFill="text1" w:themeFillTint="80"/>
        <w:tcBorders>
          <w:top w:val="single" w:color="000000" w:sz="4" w:space="0" w:themeColor="light1"/>
          <w:bottom w:val="single" w:color="000000" w:sz="4" w:space="0" w:themeColor="light1"/>
        </w:tcBorders>
      </w:tcPr>
    </w:tblStylePr>
    <w:tblStylePr w:type="band2Vert">
      <w:pPr>
        <w:snapToGrid w:val="1"/>
      </w:pPr>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pPr>
        <w:snapToGrid w:val="1"/>
      </w:p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pPr>
        <w:snapToGrid w:val="1"/>
      </w:p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pPr>
        <w:snapToGrid w:val="1"/>
      </w:pPr>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FFFFFF" w:themeColor="light1"/>
        <w:sz w:val="22"/>
      </w:rPr>
      <w:pPr>
        <w:snapToGrid w:val="1"/>
      </w:pPr>
    </w:tblStylePr>
  </w:style>
  <w:style w:type="table" w:styleId="129">
    <w:name w:val="List Table 5 Dark - Accent 1"/>
    <w:basedOn w:val="30"/>
    <w:uiPriority w:val="99"/>
    <w:pPr>
      <w:snapToGrid w:val="1"/>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pPr>
        <w:snapToGrid w:val="1"/>
      </w:pPr>
      <w:tcPr>
        <w:shd w:val="clear" w:color="auto" w:fill="FFFFFF" w:themeFill="accent1"/>
        <w:tcBorders>
          <w:top w:val="single" w:color="000000" w:sz="4" w:space="0" w:themeColor="light1"/>
          <w:bottom w:val="single" w:color="000000" w:sz="4" w:space="0" w:themeColor="light1"/>
        </w:tcBorders>
      </w:tcPr>
    </w:tblStylePr>
    <w:tblStylePr w:type="band1Vert">
      <w:pPr>
        <w:snapToGrid w:val="1"/>
      </w:pPr>
      <w:tcPr>
        <w:shd w:val="clear" w:color="auto" w:fill="FFFFFF" w:themeFill="accent1"/>
        <w:tcBorders>
          <w:left w:val="single" w:color="000000" w:sz="4" w:space="0" w:themeColor="light1"/>
          <w:right w:val="single" w:color="000000" w:sz="4" w:space="0" w:themeColor="light1"/>
        </w:tcBorders>
      </w:tcPr>
    </w:tblStylePr>
    <w:tblStylePr w:type="band2Horz">
      <w:pPr>
        <w:snapToGrid w:val="1"/>
      </w:pPr>
      <w:tcPr>
        <w:shd w:val="clear" w:color="auto" w:fill="FFFFFF" w:themeFill="accent1"/>
        <w:tcBorders>
          <w:top w:val="single" w:color="000000" w:sz="4" w:space="0" w:themeColor="light1"/>
          <w:bottom w:val="single" w:color="000000" w:sz="4" w:space="0" w:themeColor="light1"/>
        </w:tcBorders>
      </w:tcPr>
    </w:tblStylePr>
    <w:tblStylePr w:type="band2Vert">
      <w:pPr>
        <w:snapToGrid w:val="1"/>
      </w:pPr>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pPr>
        <w:snapToGrid w:val="1"/>
      </w:p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pPr>
        <w:snapToGrid w:val="1"/>
      </w:pPr>
      <w:tcPr>
        <w:shd w:val="clear" w:color="auto" w:fill="FFFFFF" w:themeFill="accent1"/>
        <w:tcBorders>
          <w:top w:val="single" w:color="000000" w:sz="32" w:space="0" w:themeColor="accent1"/>
          <w:bottom w:val="single" w:color="000000" w:sz="12" w:space="0" w:themeColor="light1"/>
        </w:tcBorders>
      </w:tcPr>
    </w:tblStylePr>
    <w:tblStylePr w:type="lastCol">
      <w:pPr>
        <w:snapToGrid w:val="1"/>
      </w:pPr>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FFFFFF" w:themeColor="light1"/>
        <w:sz w:val="22"/>
      </w:rPr>
      <w:pPr>
        <w:snapToGrid w:val="1"/>
      </w:pPr>
    </w:tblStylePr>
  </w:style>
  <w:style w:type="table" w:styleId="130">
    <w:name w:val="List Table 5 Dark - Accent 2"/>
    <w:basedOn w:val="30"/>
    <w:uiPriority w:val="99"/>
    <w:pPr>
      <w:snapToGrid w:val="1"/>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pPr>
        <w:snapToGrid w:val="1"/>
      </w:pPr>
      <w:tcPr>
        <w:shd w:val="clear" w:color="auto" w:fill="FFFFFF" w:themeFill="accent2" w:themeFillTint="97"/>
        <w:tcBorders>
          <w:top w:val="single" w:color="000000" w:sz="4" w:space="0" w:themeColor="light1"/>
          <w:bottom w:val="single" w:color="000000" w:sz="4" w:space="0" w:themeColor="light1"/>
        </w:tcBorders>
      </w:tcPr>
    </w:tblStylePr>
    <w:tblStylePr w:type="band1Vert">
      <w:pPr>
        <w:snapToGrid w:val="1"/>
      </w:pPr>
      <w:tcPr>
        <w:shd w:val="clear" w:color="auto" w:fill="FFFFFF" w:themeFill="accent2" w:themeFillTint="97"/>
        <w:tcBorders>
          <w:left w:val="single" w:color="000000" w:sz="4" w:space="0" w:themeColor="light1"/>
          <w:right w:val="single" w:color="000000" w:sz="4" w:space="0" w:themeColor="light1"/>
        </w:tcBorders>
      </w:tcPr>
    </w:tblStylePr>
    <w:tblStylePr w:type="band2Horz">
      <w:pPr>
        <w:snapToGrid w:val="1"/>
      </w:pPr>
      <w:tcPr>
        <w:shd w:val="clear" w:color="auto" w:fill="FFFFFF" w:themeFill="accent2" w:themeFillTint="97"/>
        <w:tcBorders>
          <w:top w:val="single" w:color="000000" w:sz="4" w:space="0" w:themeColor="light1"/>
          <w:bottom w:val="single" w:color="000000" w:sz="4" w:space="0" w:themeColor="light1"/>
        </w:tcBorders>
      </w:tcPr>
    </w:tblStylePr>
    <w:tblStylePr w:type="band2Vert">
      <w:pPr>
        <w:snapToGrid w:val="1"/>
      </w:pPr>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pPr>
        <w:snapToGrid w:val="1"/>
      </w:p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pPr>
        <w:snapToGrid w:val="1"/>
      </w:p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pPr>
        <w:snapToGrid w:val="1"/>
      </w:pPr>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FFFFFF" w:themeColor="light1"/>
        <w:sz w:val="22"/>
      </w:rPr>
      <w:pPr>
        <w:snapToGrid w:val="1"/>
      </w:pPr>
    </w:tblStylePr>
  </w:style>
  <w:style w:type="table" w:styleId="131">
    <w:name w:val="List Table 5 Dark - Accent 3"/>
    <w:basedOn w:val="30"/>
    <w:uiPriority w:val="99"/>
    <w:pPr>
      <w:snapToGrid w:val="1"/>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pPr>
        <w:snapToGrid w:val="1"/>
      </w:pPr>
      <w:tcPr>
        <w:shd w:val="clear" w:color="auto" w:fill="FFFFFF" w:themeFill="accent3" w:themeFillTint="98"/>
        <w:tcBorders>
          <w:top w:val="single" w:color="000000" w:sz="4" w:space="0" w:themeColor="light1"/>
          <w:bottom w:val="single" w:color="000000" w:sz="4" w:space="0" w:themeColor="light1"/>
        </w:tcBorders>
      </w:tcPr>
    </w:tblStylePr>
    <w:tblStylePr w:type="band1Vert">
      <w:pPr>
        <w:snapToGrid w:val="1"/>
      </w:pPr>
      <w:tcPr>
        <w:shd w:val="clear" w:color="auto" w:fill="FFFFFF" w:themeFill="accent3" w:themeFillTint="98"/>
        <w:tcBorders>
          <w:left w:val="single" w:color="000000" w:sz="4" w:space="0" w:themeColor="light1"/>
          <w:right w:val="single" w:color="000000" w:sz="4" w:space="0" w:themeColor="light1"/>
        </w:tcBorders>
      </w:tcPr>
    </w:tblStylePr>
    <w:tblStylePr w:type="band2Horz">
      <w:pPr>
        <w:snapToGrid w:val="1"/>
      </w:pPr>
      <w:tcPr>
        <w:shd w:val="clear" w:color="auto" w:fill="FFFFFF" w:themeFill="accent3" w:themeFillTint="98"/>
        <w:tcBorders>
          <w:top w:val="single" w:color="000000" w:sz="4" w:space="0" w:themeColor="light1"/>
          <w:bottom w:val="single" w:color="000000" w:sz="4" w:space="0" w:themeColor="light1"/>
        </w:tcBorders>
      </w:tcPr>
    </w:tblStylePr>
    <w:tblStylePr w:type="band2Vert">
      <w:pPr>
        <w:snapToGrid w:val="1"/>
      </w:pPr>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pPr>
        <w:snapToGrid w:val="1"/>
      </w:p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pPr>
        <w:snapToGrid w:val="1"/>
      </w:p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pPr>
        <w:snapToGrid w:val="1"/>
      </w:pPr>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FFFFFF" w:themeColor="light1"/>
        <w:sz w:val="22"/>
      </w:rPr>
      <w:pPr>
        <w:snapToGrid w:val="1"/>
      </w:pPr>
    </w:tblStylePr>
  </w:style>
  <w:style w:type="table" w:styleId="132">
    <w:name w:val="List Table 5 Dark - Accent 4"/>
    <w:basedOn w:val="30"/>
    <w:uiPriority w:val="99"/>
    <w:pPr>
      <w:snapToGrid w:val="1"/>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pPr>
        <w:snapToGrid w:val="1"/>
      </w:pPr>
      <w:tcPr>
        <w:shd w:val="clear" w:color="auto" w:fill="FFFFFF" w:themeFill="accent4" w:themeFillTint="9A"/>
        <w:tcBorders>
          <w:top w:val="single" w:color="000000" w:sz="4" w:space="0" w:themeColor="light1"/>
          <w:bottom w:val="single" w:color="000000" w:sz="4" w:space="0" w:themeColor="light1"/>
        </w:tcBorders>
      </w:tcPr>
    </w:tblStylePr>
    <w:tblStylePr w:type="band1Vert">
      <w:pPr>
        <w:snapToGrid w:val="1"/>
      </w:pPr>
      <w:tcPr>
        <w:shd w:val="clear" w:color="auto" w:fill="FFFFFF" w:themeFill="accent4" w:themeFillTint="9A"/>
        <w:tcBorders>
          <w:left w:val="single" w:color="000000" w:sz="4" w:space="0" w:themeColor="light1"/>
          <w:right w:val="single" w:color="000000" w:sz="4" w:space="0" w:themeColor="light1"/>
        </w:tcBorders>
      </w:tcPr>
    </w:tblStylePr>
    <w:tblStylePr w:type="band2Horz">
      <w:pPr>
        <w:snapToGrid w:val="1"/>
      </w:pPr>
      <w:tcPr>
        <w:shd w:val="clear" w:color="auto" w:fill="FFFFFF" w:themeFill="accent4" w:themeFillTint="9A"/>
        <w:tcBorders>
          <w:top w:val="single" w:color="000000" w:sz="4" w:space="0" w:themeColor="light1"/>
          <w:bottom w:val="single" w:color="000000" w:sz="4" w:space="0" w:themeColor="light1"/>
        </w:tcBorders>
      </w:tcPr>
    </w:tblStylePr>
    <w:tblStylePr w:type="band2Vert">
      <w:pPr>
        <w:snapToGrid w:val="1"/>
      </w:pPr>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pPr>
        <w:snapToGrid w:val="1"/>
      </w:p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pPr>
        <w:snapToGrid w:val="1"/>
      </w:p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pPr>
        <w:snapToGrid w:val="1"/>
      </w:pPr>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FFFFFF" w:themeColor="light1"/>
        <w:sz w:val="22"/>
      </w:rPr>
      <w:pPr>
        <w:snapToGrid w:val="1"/>
      </w:pPr>
    </w:tblStylePr>
  </w:style>
  <w:style w:type="table" w:styleId="133">
    <w:name w:val="List Table 5 Dark - Accent 5"/>
    <w:basedOn w:val="30"/>
    <w:uiPriority w:val="99"/>
    <w:pPr>
      <w:snapToGrid w:val="1"/>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pPr>
        <w:snapToGrid w:val="1"/>
      </w:pPr>
      <w:tcPr>
        <w:shd w:val="clear" w:color="auto" w:fill="FFFFFF" w:themeFill="accent5" w:themeFillTint="9A"/>
        <w:tcBorders>
          <w:top w:val="single" w:color="000000" w:sz="4" w:space="0" w:themeColor="light1"/>
          <w:bottom w:val="single" w:color="000000" w:sz="4" w:space="0" w:themeColor="light1"/>
        </w:tcBorders>
      </w:tcPr>
    </w:tblStylePr>
    <w:tblStylePr w:type="band1Vert">
      <w:pPr>
        <w:snapToGrid w:val="1"/>
      </w:pPr>
      <w:tcPr>
        <w:shd w:val="clear" w:color="auto" w:fill="FFFFFF" w:themeFill="accent5" w:themeFillTint="9A"/>
        <w:tcBorders>
          <w:left w:val="single" w:color="000000" w:sz="4" w:space="0" w:themeColor="light1"/>
          <w:right w:val="single" w:color="000000" w:sz="4" w:space="0" w:themeColor="light1"/>
        </w:tcBorders>
      </w:tcPr>
    </w:tblStylePr>
    <w:tblStylePr w:type="band2Horz">
      <w:pPr>
        <w:snapToGrid w:val="1"/>
      </w:pPr>
      <w:tcPr>
        <w:shd w:val="clear" w:color="auto" w:fill="FFFFFF" w:themeFill="accent5" w:themeFillTint="9A"/>
        <w:tcBorders>
          <w:top w:val="single" w:color="000000" w:sz="4" w:space="0" w:themeColor="light1"/>
          <w:bottom w:val="single" w:color="000000" w:sz="4" w:space="0" w:themeColor="light1"/>
        </w:tcBorders>
      </w:tcPr>
    </w:tblStylePr>
    <w:tblStylePr w:type="band2Vert">
      <w:pPr>
        <w:snapToGrid w:val="1"/>
      </w:pPr>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pPr>
        <w:snapToGrid w:val="1"/>
      </w:p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pPr>
        <w:snapToGrid w:val="1"/>
      </w:p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pPr>
        <w:snapToGrid w:val="1"/>
      </w:pPr>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FFFFFF" w:themeColor="light1"/>
        <w:sz w:val="22"/>
      </w:rPr>
      <w:pPr>
        <w:snapToGrid w:val="1"/>
      </w:pPr>
    </w:tblStylePr>
  </w:style>
  <w:style w:type="table" w:styleId="134">
    <w:name w:val="List Table 5 Dark - Accent 6"/>
    <w:basedOn w:val="30"/>
    <w:uiPriority w:val="99"/>
    <w:pPr>
      <w:snapToGrid w:val="1"/>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pPr>
        <w:snapToGrid w:val="1"/>
      </w:pPr>
      <w:tcPr>
        <w:shd w:val="clear" w:color="auto" w:fill="FFFFFF" w:themeFill="accent6" w:themeFillTint="98"/>
        <w:tcBorders>
          <w:top w:val="single" w:color="000000" w:sz="4" w:space="0" w:themeColor="light1"/>
          <w:bottom w:val="single" w:color="000000" w:sz="4" w:space="0" w:themeColor="light1"/>
        </w:tcBorders>
      </w:tcPr>
    </w:tblStylePr>
    <w:tblStylePr w:type="band1Vert">
      <w:pPr>
        <w:snapToGrid w:val="1"/>
      </w:pPr>
      <w:tcPr>
        <w:shd w:val="clear" w:color="auto" w:fill="FFFFFF" w:themeFill="accent6" w:themeFillTint="98"/>
        <w:tcBorders>
          <w:left w:val="single" w:color="000000" w:sz="4" w:space="0" w:themeColor="light1"/>
          <w:right w:val="single" w:color="000000" w:sz="4" w:space="0" w:themeColor="light1"/>
        </w:tcBorders>
      </w:tcPr>
    </w:tblStylePr>
    <w:tblStylePr w:type="band2Horz">
      <w:pPr>
        <w:snapToGrid w:val="1"/>
      </w:pPr>
      <w:tcPr>
        <w:shd w:val="clear" w:color="auto" w:fill="FFFFFF" w:themeFill="accent6" w:themeFillTint="98"/>
        <w:tcBorders>
          <w:top w:val="single" w:color="000000" w:sz="4" w:space="0" w:themeColor="light1"/>
          <w:bottom w:val="single" w:color="000000" w:sz="4" w:space="0" w:themeColor="light1"/>
        </w:tcBorders>
      </w:tcPr>
    </w:tblStylePr>
    <w:tblStylePr w:type="band2Vert">
      <w:pPr>
        <w:snapToGrid w:val="1"/>
      </w:pPr>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pPr>
        <w:snapToGrid w:val="1"/>
      </w:p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pPr>
        <w:snapToGrid w:val="1"/>
      </w:p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pPr>
        <w:snapToGrid w:val="1"/>
      </w:pPr>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FFFFFF" w:themeColor="light1"/>
        <w:sz w:val="22"/>
      </w:rPr>
      <w:pPr>
        <w:snapToGrid w:val="1"/>
      </w:pPr>
    </w:tblStylePr>
  </w:style>
  <w:style w:type="table" w:styleId="135">
    <w:name w:val="List Table 6 Colorful"/>
    <w:basedOn w:val="30"/>
    <w:uiPriority w:val="99"/>
    <w:pPr>
      <w:snapToGrid w:val="1"/>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pPr>
        <w:snapToGrid w:val="1"/>
      </w:pPr>
      <w:tcPr>
        <w:shd w:val="clear" w:color="auto" w:fill="FFFFFF" w:themeFill="text1" w:themeFillTint="40"/>
      </w:tcPr>
    </w:tblStylePr>
    <w:tblStylePr w:type="band1Vert">
      <w:pPr>
        <w:snapToGrid w:val="1"/>
      </w:pPr>
      <w:tcPr>
        <w:shd w:val="clear" w:color="auto" w:fill="FFFFFF" w:themeFill="text1" w:themeFillTint="40"/>
      </w:tcPr>
    </w:tblStylePr>
    <w:tblStylePr w:type="band2Horz">
      <w:rPr>
        <w:rFonts w:ascii="Arial" w:hAnsi="Arial"/>
        <w:color w:val="404040" w:themeColor="text1"/>
        <w:sz w:val="22"/>
      </w:rPr>
      <w:pPr>
        <w:snapToGrid w:val="1"/>
      </w:pPr>
    </w:tblStylePr>
    <w:tblStylePr w:type="band2Vert">
      <w:pPr>
        <w:snapToGrid w:val="1"/>
      </w:pPr>
    </w:tblStylePr>
    <w:tblStylePr w:type="firstCol">
      <w:rPr>
        <w:b/>
        <w:color w:val="000000" w:themeColor="text1"/>
      </w:rPr>
      <w:pPr>
        <w:snapToGrid w:val="1"/>
      </w:pPr>
    </w:tblStylePr>
    <w:tblStylePr w:type="firstRow">
      <w:rPr>
        <w:b/>
        <w:color w:val="000000" w:themeColor="text1"/>
      </w:rPr>
      <w:pPr>
        <w:snapToGrid w:val="1"/>
      </w:pPr>
      <w:tcPr>
        <w:tcBorders>
          <w:bottom w:val="single" w:color="000000" w:sz="4" w:space="0" w:themeColor="text1" w:themeTint="80"/>
        </w:tcBorders>
      </w:tcPr>
    </w:tblStylePr>
    <w:tblStylePr w:type="lastCol">
      <w:rPr>
        <w:b/>
        <w:color w:val="000000" w:themeColor="text1"/>
      </w:rPr>
      <w:pPr>
        <w:snapToGrid w:val="1"/>
      </w:pPr>
    </w:tblStylePr>
    <w:tblStylePr w:type="lastRow">
      <w:rPr>
        <w:b/>
        <w:color w:val="000000" w:themeColor="text1"/>
      </w:rPr>
      <w:pPr>
        <w:snapToGrid w:val="1"/>
      </w:pPr>
      <w:tcPr>
        <w:tcBorders>
          <w:top w:val="single" w:color="000000" w:sz="4" w:space="0" w:themeColor="text1" w:themeTint="8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36">
    <w:name w:val="List Table 6 Colorful - Accent 1"/>
    <w:basedOn w:val="30"/>
    <w:uiPriority w:val="99"/>
    <w:pPr>
      <w:snapToGrid w:val="1"/>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pPr>
        <w:snapToGrid w:val="1"/>
      </w:pPr>
      <w:tcPr>
        <w:shd w:val="clear" w:color="auto" w:fill="FFFFFF" w:themeFill="accent1" w:themeFillTint="40"/>
      </w:tcPr>
    </w:tblStylePr>
    <w:tblStylePr w:type="band1Vert">
      <w:pPr>
        <w:snapToGrid w:val="1"/>
      </w:pPr>
      <w:tcPr>
        <w:shd w:val="clear" w:color="auto" w:fill="FFFFFF" w:themeFill="accent1" w:themeFillTint="40"/>
      </w:tcPr>
    </w:tblStylePr>
    <w:tblStylePr w:type="band2Horz">
      <w:rPr>
        <w:rFonts w:ascii="Arial" w:hAnsi="Arial"/>
        <w:color w:val="404040" w:themeColor="accent1" w:themeShade="95"/>
        <w:sz w:val="22"/>
      </w:rPr>
      <w:pPr>
        <w:snapToGrid w:val="1"/>
      </w:pPr>
    </w:tblStylePr>
    <w:tblStylePr w:type="band2Vert">
      <w:pPr>
        <w:snapToGrid w:val="1"/>
      </w:pPr>
    </w:tblStylePr>
    <w:tblStylePr w:type="firstCol">
      <w:rPr>
        <w:b/>
        <w:color w:val="2A4B71" w:themeColor="accent1" w:themeShade="95"/>
      </w:rPr>
      <w:pPr>
        <w:snapToGrid w:val="1"/>
      </w:pPr>
    </w:tblStylePr>
    <w:tblStylePr w:type="firstRow">
      <w:rPr>
        <w:b/>
        <w:color w:val="2A4B71" w:themeColor="accent1" w:themeShade="95"/>
      </w:rPr>
      <w:pPr>
        <w:snapToGrid w:val="1"/>
      </w:pPr>
      <w:tcPr>
        <w:tcBorders>
          <w:bottom w:val="single" w:color="000000" w:sz="4" w:space="0" w:themeColor="accent1"/>
        </w:tcBorders>
      </w:tcPr>
    </w:tblStylePr>
    <w:tblStylePr w:type="lastCol">
      <w:rPr>
        <w:b/>
        <w:color w:val="2A4B71" w:themeColor="accent1" w:themeShade="95"/>
      </w:rPr>
      <w:pPr>
        <w:snapToGrid w:val="1"/>
      </w:pPr>
    </w:tblStylePr>
    <w:tblStylePr w:type="lastRow">
      <w:rPr>
        <w:b/>
        <w:color w:val="2A4B71" w:themeColor="accent1" w:themeShade="95"/>
      </w:rPr>
      <w:pPr>
        <w:snapToGrid w:val="1"/>
      </w:pPr>
      <w:tcPr>
        <w:tcBorders>
          <w:top w:val="single" w:color="000000" w:sz="4" w:space="0" w:themeColor="accent1"/>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37">
    <w:name w:val="List Table 6 Colorful - Accent 2"/>
    <w:basedOn w:val="30"/>
    <w:uiPriority w:val="99"/>
    <w:pPr>
      <w:snapToGrid w:val="1"/>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pPr>
        <w:snapToGrid w:val="1"/>
      </w:pPr>
      <w:tcPr>
        <w:shd w:val="clear" w:color="auto" w:fill="FFFFFF" w:themeFill="accent2" w:themeFillTint="40"/>
      </w:tcPr>
    </w:tblStylePr>
    <w:tblStylePr w:type="band1Vert">
      <w:pPr>
        <w:snapToGrid w:val="1"/>
      </w:pPr>
      <w:tcPr>
        <w:shd w:val="clear" w:color="auto" w:fill="FFFFFF" w:themeFill="accent2" w:themeFillTint="40"/>
      </w:tcPr>
    </w:tblStylePr>
    <w:tblStylePr w:type="band2Horz">
      <w:rPr>
        <w:rFonts w:ascii="Arial" w:hAnsi="Arial"/>
        <w:color w:val="404040" w:themeColor="accent2" w:themeTint="97" w:themeShade="95"/>
        <w:sz w:val="22"/>
      </w:rPr>
      <w:pPr>
        <w:snapToGrid w:val="1"/>
      </w:pPr>
    </w:tblStylePr>
    <w:tblStylePr w:type="band2Vert">
      <w:pPr>
        <w:snapToGrid w:val="1"/>
      </w:pPr>
    </w:tblStylePr>
    <w:tblStylePr w:type="firstCol">
      <w:rPr>
        <w:b/>
        <w:color w:val="9C3A37" w:themeColor="accent2" w:themeTint="97" w:themeShade="95"/>
      </w:rPr>
      <w:pPr>
        <w:snapToGrid w:val="1"/>
      </w:pPr>
    </w:tblStylePr>
    <w:tblStylePr w:type="firstRow">
      <w:rPr>
        <w:b/>
        <w:color w:val="9C3A37" w:themeColor="accent2" w:themeTint="97" w:themeShade="95"/>
      </w:rPr>
      <w:pPr>
        <w:snapToGrid w:val="1"/>
      </w:pPr>
      <w:tcPr>
        <w:tcBorders>
          <w:bottom w:val="single" w:color="000000" w:sz="4" w:space="0" w:themeColor="accent2" w:themeTint="97"/>
        </w:tcBorders>
      </w:tcPr>
    </w:tblStylePr>
    <w:tblStylePr w:type="lastCol">
      <w:rPr>
        <w:b/>
        <w:color w:val="9C3A37" w:themeColor="accent2" w:themeTint="97" w:themeShade="95"/>
      </w:rPr>
      <w:pPr>
        <w:snapToGrid w:val="1"/>
      </w:pPr>
    </w:tblStylePr>
    <w:tblStylePr w:type="lastRow">
      <w:rPr>
        <w:b/>
        <w:color w:val="9C3A37" w:themeColor="accent2" w:themeTint="97" w:themeShade="95"/>
      </w:rPr>
      <w:pPr>
        <w:snapToGrid w:val="1"/>
      </w:pPr>
      <w:tcPr>
        <w:tcBorders>
          <w:top w:val="single" w:color="000000" w:sz="4" w:space="0" w:themeColor="accent2" w:themeTint="97"/>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38">
    <w:name w:val="List Table 6 Colorful - Accent 3"/>
    <w:basedOn w:val="30"/>
    <w:uiPriority w:val="99"/>
    <w:pPr>
      <w:snapToGrid w:val="1"/>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pPr>
        <w:snapToGrid w:val="1"/>
      </w:pPr>
      <w:tcPr>
        <w:shd w:val="clear" w:color="auto" w:fill="FFFFFF" w:themeFill="accent3" w:themeFillTint="40"/>
      </w:tcPr>
    </w:tblStylePr>
    <w:tblStylePr w:type="band1Vert">
      <w:pPr>
        <w:snapToGrid w:val="1"/>
      </w:pPr>
      <w:tcPr>
        <w:shd w:val="clear" w:color="auto" w:fill="FFFFFF" w:themeFill="accent3" w:themeFillTint="40"/>
      </w:tcPr>
    </w:tblStylePr>
    <w:tblStylePr w:type="band2Horz">
      <w:rPr>
        <w:rFonts w:ascii="Arial" w:hAnsi="Arial"/>
        <w:color w:val="404040" w:themeColor="accent3" w:themeTint="98" w:themeShade="95"/>
        <w:sz w:val="22"/>
      </w:rPr>
      <w:pPr>
        <w:snapToGrid w:val="1"/>
      </w:pPr>
    </w:tblStylePr>
    <w:tblStylePr w:type="band2Vert">
      <w:pPr>
        <w:snapToGrid w:val="1"/>
      </w:pPr>
    </w:tblStylePr>
    <w:tblStylePr w:type="firstCol">
      <w:rPr>
        <w:b/>
        <w:color w:val="7C983F" w:themeColor="accent3" w:themeTint="98" w:themeShade="95"/>
      </w:rPr>
      <w:pPr>
        <w:snapToGrid w:val="1"/>
      </w:pPr>
    </w:tblStylePr>
    <w:tblStylePr w:type="firstRow">
      <w:rPr>
        <w:b/>
        <w:color w:val="7C983F" w:themeColor="accent3" w:themeTint="98" w:themeShade="95"/>
      </w:rPr>
      <w:pPr>
        <w:snapToGrid w:val="1"/>
      </w:pPr>
      <w:tcPr>
        <w:tcBorders>
          <w:bottom w:val="single" w:color="000000" w:sz="4" w:space="0" w:themeColor="accent3" w:themeTint="98"/>
        </w:tcBorders>
      </w:tcPr>
    </w:tblStylePr>
    <w:tblStylePr w:type="lastCol">
      <w:rPr>
        <w:b/>
        <w:color w:val="7C983F" w:themeColor="accent3" w:themeTint="98" w:themeShade="95"/>
      </w:rPr>
      <w:pPr>
        <w:snapToGrid w:val="1"/>
      </w:pPr>
    </w:tblStylePr>
    <w:tblStylePr w:type="lastRow">
      <w:rPr>
        <w:b/>
        <w:color w:val="7C983F" w:themeColor="accent3" w:themeTint="98" w:themeShade="95"/>
      </w:rPr>
      <w:pPr>
        <w:snapToGrid w:val="1"/>
      </w:pPr>
      <w:tcPr>
        <w:tcBorders>
          <w:top w:val="single" w:color="000000" w:sz="4" w:space="0" w:themeColor="accent3" w:themeTint="98"/>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39">
    <w:name w:val="List Table 6 Colorful - Accent 4"/>
    <w:basedOn w:val="30"/>
    <w:uiPriority w:val="99"/>
    <w:pPr>
      <w:snapToGrid w:val="1"/>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pPr>
        <w:snapToGrid w:val="1"/>
      </w:pPr>
      <w:tcPr>
        <w:shd w:val="clear" w:color="auto" w:fill="FFFFFF" w:themeFill="accent4" w:themeFillTint="40"/>
      </w:tcPr>
    </w:tblStylePr>
    <w:tblStylePr w:type="band1Vert">
      <w:pPr>
        <w:snapToGrid w:val="1"/>
      </w:pPr>
      <w:tcPr>
        <w:shd w:val="clear" w:color="auto" w:fill="FFFFFF" w:themeFill="accent4" w:themeFillTint="40"/>
      </w:tcPr>
    </w:tblStylePr>
    <w:tblStylePr w:type="band2Horz">
      <w:rPr>
        <w:rFonts w:ascii="Arial" w:hAnsi="Arial"/>
        <w:color w:val="404040" w:themeColor="accent4" w:themeTint="9A" w:themeShade="95"/>
        <w:sz w:val="22"/>
      </w:rPr>
      <w:pPr>
        <w:snapToGrid w:val="1"/>
      </w:pPr>
    </w:tblStylePr>
    <w:tblStylePr w:type="band2Vert">
      <w:pPr>
        <w:snapToGrid w:val="1"/>
      </w:pPr>
    </w:tblStylePr>
    <w:tblStylePr w:type="firstCol">
      <w:rPr>
        <w:b/>
        <w:color w:val="664F82" w:themeColor="accent4" w:themeTint="9A" w:themeShade="95"/>
      </w:rPr>
      <w:pPr>
        <w:snapToGrid w:val="1"/>
      </w:pPr>
    </w:tblStylePr>
    <w:tblStylePr w:type="firstRow">
      <w:rPr>
        <w:b/>
        <w:color w:val="664F82" w:themeColor="accent4" w:themeTint="9A" w:themeShade="95"/>
      </w:rPr>
      <w:pPr>
        <w:snapToGrid w:val="1"/>
      </w:pPr>
      <w:tcPr>
        <w:tcBorders>
          <w:bottom w:val="single" w:color="000000" w:sz="4" w:space="0" w:themeColor="accent4" w:themeTint="9A"/>
        </w:tcBorders>
      </w:tcPr>
    </w:tblStylePr>
    <w:tblStylePr w:type="lastCol">
      <w:rPr>
        <w:b/>
        <w:color w:val="664F82" w:themeColor="accent4" w:themeTint="9A" w:themeShade="95"/>
      </w:rPr>
      <w:pPr>
        <w:snapToGrid w:val="1"/>
      </w:pPr>
    </w:tblStylePr>
    <w:tblStylePr w:type="lastRow">
      <w:rPr>
        <w:b/>
        <w:color w:val="664F82" w:themeColor="accent4" w:themeTint="9A" w:themeShade="95"/>
      </w:rPr>
      <w:pPr>
        <w:snapToGrid w:val="1"/>
      </w:pPr>
      <w:tcPr>
        <w:tcBorders>
          <w:top w:val="single" w:color="000000" w:sz="4" w:space="0" w:themeColor="accent4" w:themeTint="9A"/>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40">
    <w:name w:val="List Table 6 Colorful - Accent 5"/>
    <w:basedOn w:val="30"/>
    <w:uiPriority w:val="99"/>
    <w:pPr>
      <w:snapToGrid w:val="1"/>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pPr>
        <w:snapToGrid w:val="1"/>
      </w:pPr>
      <w:tcPr>
        <w:shd w:val="clear" w:color="auto" w:fill="FFFFFF" w:themeFill="accent5" w:themeFillTint="40"/>
      </w:tcPr>
    </w:tblStylePr>
    <w:tblStylePr w:type="band1Vert">
      <w:pPr>
        <w:snapToGrid w:val="1"/>
      </w:pPr>
      <w:tcPr>
        <w:shd w:val="clear" w:color="auto" w:fill="FFFFFF" w:themeFill="accent5" w:themeFillTint="40"/>
      </w:tcPr>
    </w:tblStylePr>
    <w:tblStylePr w:type="band2Horz">
      <w:rPr>
        <w:rFonts w:ascii="Arial" w:hAnsi="Arial"/>
        <w:color w:val="404040" w:themeColor="accent5" w:themeTint="9A" w:themeShade="95"/>
        <w:sz w:val="22"/>
      </w:rPr>
      <w:pPr>
        <w:snapToGrid w:val="1"/>
      </w:pPr>
    </w:tblStylePr>
    <w:tblStylePr w:type="band2Vert">
      <w:pPr>
        <w:snapToGrid w:val="1"/>
      </w:pPr>
    </w:tblStylePr>
    <w:tblStylePr w:type="firstCol">
      <w:rPr>
        <w:b/>
        <w:color w:val="338AA0" w:themeColor="accent5" w:themeTint="9A" w:themeShade="95"/>
      </w:rPr>
      <w:pPr>
        <w:snapToGrid w:val="1"/>
      </w:pPr>
    </w:tblStylePr>
    <w:tblStylePr w:type="firstRow">
      <w:rPr>
        <w:b/>
        <w:color w:val="338AA0" w:themeColor="accent5" w:themeTint="9A" w:themeShade="95"/>
      </w:rPr>
      <w:pPr>
        <w:snapToGrid w:val="1"/>
      </w:pPr>
      <w:tcPr>
        <w:tcBorders>
          <w:bottom w:val="single" w:color="000000" w:sz="4" w:space="0" w:themeColor="accent5" w:themeTint="9A"/>
        </w:tcBorders>
      </w:tcPr>
    </w:tblStylePr>
    <w:tblStylePr w:type="lastCol">
      <w:rPr>
        <w:b/>
        <w:color w:val="338AA0" w:themeColor="accent5" w:themeTint="9A" w:themeShade="95"/>
      </w:rPr>
      <w:pPr>
        <w:snapToGrid w:val="1"/>
      </w:pPr>
    </w:tblStylePr>
    <w:tblStylePr w:type="lastRow">
      <w:rPr>
        <w:b/>
        <w:color w:val="338AA0" w:themeColor="accent5" w:themeTint="9A" w:themeShade="95"/>
      </w:rPr>
      <w:pPr>
        <w:snapToGrid w:val="1"/>
      </w:pPr>
      <w:tcPr>
        <w:tcBorders>
          <w:top w:val="single" w:color="000000" w:sz="4" w:space="0" w:themeColor="accent5" w:themeTint="9A"/>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41">
    <w:name w:val="List Table 6 Colorful - Accent 6"/>
    <w:basedOn w:val="30"/>
    <w:uiPriority w:val="99"/>
    <w:pPr>
      <w:snapToGrid w:val="1"/>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pPr>
        <w:snapToGrid w:val="1"/>
      </w:pPr>
      <w:tcPr>
        <w:shd w:val="clear" w:color="auto" w:fill="FFFFFF" w:themeFill="accent6" w:themeFillTint="40"/>
      </w:tcPr>
    </w:tblStylePr>
    <w:tblStylePr w:type="band1Vert">
      <w:pPr>
        <w:snapToGrid w:val="1"/>
      </w:pPr>
      <w:tcPr>
        <w:shd w:val="clear" w:color="auto" w:fill="FFFFFF" w:themeFill="accent6" w:themeFillTint="40"/>
      </w:tcPr>
    </w:tblStylePr>
    <w:tblStylePr w:type="band2Horz">
      <w:rPr>
        <w:rFonts w:ascii="Arial" w:hAnsi="Arial"/>
        <w:color w:val="404040" w:themeColor="accent6" w:themeTint="98" w:themeShade="95"/>
        <w:sz w:val="22"/>
      </w:rPr>
      <w:pPr>
        <w:snapToGrid w:val="1"/>
      </w:pPr>
    </w:tblStylePr>
    <w:tblStylePr w:type="band2Vert">
      <w:pPr>
        <w:snapToGrid w:val="1"/>
      </w:pPr>
    </w:tblStylePr>
    <w:tblStylePr w:type="firstCol">
      <w:rPr>
        <w:b/>
        <w:color w:val="D9680C" w:themeColor="accent6" w:themeTint="98" w:themeShade="95"/>
      </w:rPr>
      <w:pPr>
        <w:snapToGrid w:val="1"/>
      </w:pPr>
    </w:tblStylePr>
    <w:tblStylePr w:type="firstRow">
      <w:rPr>
        <w:b/>
        <w:color w:val="D9680C" w:themeColor="accent6" w:themeTint="98" w:themeShade="95"/>
      </w:rPr>
      <w:pPr>
        <w:snapToGrid w:val="1"/>
      </w:pPr>
      <w:tcPr>
        <w:tcBorders>
          <w:bottom w:val="single" w:color="000000" w:sz="4" w:space="0" w:themeColor="accent6" w:themeTint="98"/>
        </w:tcBorders>
      </w:tcPr>
    </w:tblStylePr>
    <w:tblStylePr w:type="lastCol">
      <w:rPr>
        <w:b/>
        <w:color w:val="D9680C" w:themeColor="accent6" w:themeTint="98" w:themeShade="95"/>
      </w:rPr>
      <w:pPr>
        <w:snapToGrid w:val="1"/>
      </w:pPr>
    </w:tblStylePr>
    <w:tblStylePr w:type="lastRow">
      <w:rPr>
        <w:b/>
        <w:color w:val="D9680C" w:themeColor="accent6" w:themeTint="98" w:themeShade="95"/>
      </w:rPr>
      <w:pPr>
        <w:snapToGrid w:val="1"/>
      </w:pPr>
      <w:tcPr>
        <w:tcBorders>
          <w:top w:val="single" w:color="000000" w:sz="4" w:space="0" w:themeColor="accent6" w:themeTint="98"/>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42">
    <w:name w:val="List Table 7 Colorful"/>
    <w:basedOn w:val="30"/>
    <w:uiPriority w:val="99"/>
    <w:pPr>
      <w:snapToGrid w:val="1"/>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pPr>
        <w:snapToGrid w:val="1"/>
      </w:pPr>
      <w:tcPr>
        <w:shd w:val="clear" w:color="auto" w:fill="FFFFFF" w:themeFill="text1" w:themeFillTint="40"/>
      </w:tcPr>
    </w:tblStylePr>
    <w:tblStylePr w:type="band1Vert">
      <w:pPr>
        <w:snapToGrid w:val="1"/>
      </w:pPr>
      <w:tcPr>
        <w:shd w:val="clear" w:color="auto" w:fill="FFFFFF" w:themeFill="text1" w:themeFillTint="40"/>
      </w:tcPr>
    </w:tblStylePr>
    <w:tblStylePr w:type="band2Horz">
      <w:rPr>
        <w:rFonts w:ascii="Arial" w:hAnsi="Arial"/>
        <w:color w:val="4A4A4A" w:themeColor="text1" w:themeTint="80" w:themeShade="95"/>
        <w:sz w:val="22"/>
      </w:rPr>
      <w:pPr>
        <w:snapToGrid w:val="1"/>
      </w:pPr>
    </w:tblStylePr>
    <w:tblStylePr w:type="band2Vert">
      <w:pPr>
        <w:snapToGrid w:val="1"/>
      </w:pPr>
    </w:tblStylePr>
    <w:tblStylePr w:type="firstCol">
      <w:rPr>
        <w:rFonts w:ascii="Arial" w:hAnsi="Arial"/>
        <w:i/>
        <w:color w:val="4A4A4A" w:themeColor="text1" w:themeTint="80" w:themeShade="95"/>
        <w:sz w:val="22"/>
      </w:rPr>
      <w:pPr>
        <w:jc w:val="right"/>
        <w:snapToGrid w:val="1"/>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pPr>
        <w:snapToGrid w:val="1"/>
      </w:p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pPr>
        <w:snapToGrid w:val="1"/>
      </w:p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pPr>
        <w:snapToGrid w:val="1"/>
      </w:pPr>
      <w:tcPr>
        <w:shd w:val="clear" w:color="auto" w:fill="FFFFFF" w:themeFill="light1"/>
        <w:tcBorders>
          <w:left w:val="none"/>
          <w:top w:val="single" w:color="000000" w:sz="4" w:space="0" w:themeColor="text1" w:themeTint="80"/>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4A4A4A" w:themeColor="text1" w:themeTint="80" w:themeShade="95"/>
        <w:sz w:val="22"/>
      </w:rPr>
      <w:pPr>
        <w:snapToGrid w:val="1"/>
      </w:pPr>
    </w:tblStylePr>
  </w:style>
  <w:style w:type="table" w:styleId="143">
    <w:name w:val="List Table 7 Colorful - Accent 1"/>
    <w:basedOn w:val="30"/>
    <w:uiPriority w:val="99"/>
    <w:pPr>
      <w:snapToGrid w:val="1"/>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pPr>
        <w:snapToGrid w:val="1"/>
      </w:pPr>
      <w:tcPr>
        <w:shd w:val="clear" w:color="auto" w:fill="FFFFFF" w:themeFill="accent1" w:themeFillTint="40"/>
      </w:tcPr>
    </w:tblStylePr>
    <w:tblStylePr w:type="band1Vert">
      <w:pPr>
        <w:snapToGrid w:val="1"/>
      </w:pPr>
      <w:tcPr>
        <w:shd w:val="clear" w:color="auto" w:fill="FFFFFF" w:themeFill="accent1" w:themeFillTint="40"/>
      </w:tcPr>
    </w:tblStylePr>
    <w:tblStylePr w:type="band2Horz">
      <w:rPr>
        <w:rFonts w:ascii="Arial" w:hAnsi="Arial"/>
        <w:color w:val="2A4B71" w:themeColor="accent1" w:themeShade="95"/>
        <w:sz w:val="22"/>
      </w:rPr>
      <w:pPr>
        <w:snapToGrid w:val="1"/>
      </w:pPr>
    </w:tblStylePr>
    <w:tblStylePr w:type="band2Vert">
      <w:pPr>
        <w:snapToGrid w:val="1"/>
      </w:pPr>
    </w:tblStylePr>
    <w:tblStylePr w:type="firstCol">
      <w:rPr>
        <w:rFonts w:ascii="Arial" w:hAnsi="Arial"/>
        <w:i/>
        <w:color w:val="2A4B71" w:themeColor="accent1" w:themeShade="95"/>
        <w:sz w:val="22"/>
      </w:rPr>
      <w:pPr>
        <w:jc w:val="right"/>
        <w:snapToGrid w:val="1"/>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pPr>
        <w:snapToGrid w:val="1"/>
      </w:p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pPr>
        <w:snapToGrid w:val="1"/>
      </w:p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pPr>
        <w:snapToGrid w:val="1"/>
      </w:pPr>
      <w:tcPr>
        <w:shd w:val="clear" w:color="auto" w:fill="FFFFFF" w:themeFill="light1"/>
        <w:tcBorders>
          <w:left w:val="none"/>
          <w:top w:val="single" w:color="000000" w:sz="4" w:space="0" w:themeColor="accent1"/>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2A4B71" w:themeColor="accent1" w:themeShade="95"/>
        <w:sz w:val="22"/>
      </w:rPr>
      <w:pPr>
        <w:snapToGrid w:val="1"/>
      </w:pPr>
    </w:tblStylePr>
  </w:style>
  <w:style w:type="table" w:styleId="144">
    <w:name w:val="List Table 7 Colorful - Accent 2"/>
    <w:basedOn w:val="30"/>
    <w:uiPriority w:val="99"/>
    <w:pPr>
      <w:snapToGrid w:val="1"/>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pPr>
        <w:snapToGrid w:val="1"/>
      </w:pPr>
      <w:tcPr>
        <w:shd w:val="clear" w:color="auto" w:fill="FFFFFF" w:themeFill="accent2" w:themeFillTint="40"/>
      </w:tcPr>
    </w:tblStylePr>
    <w:tblStylePr w:type="band1Vert">
      <w:pPr>
        <w:snapToGrid w:val="1"/>
      </w:pPr>
      <w:tcPr>
        <w:shd w:val="clear" w:color="auto" w:fill="FFFFFF" w:themeFill="accent2" w:themeFillTint="40"/>
      </w:tcPr>
    </w:tblStylePr>
    <w:tblStylePr w:type="band2Horz">
      <w:rPr>
        <w:rFonts w:ascii="Arial" w:hAnsi="Arial"/>
        <w:color w:val="9C3A37" w:themeColor="accent2" w:themeTint="97" w:themeShade="95"/>
        <w:sz w:val="22"/>
      </w:rPr>
      <w:pPr>
        <w:snapToGrid w:val="1"/>
      </w:pPr>
    </w:tblStylePr>
    <w:tblStylePr w:type="band2Vert">
      <w:pPr>
        <w:snapToGrid w:val="1"/>
      </w:pPr>
    </w:tblStylePr>
    <w:tblStylePr w:type="firstCol">
      <w:rPr>
        <w:rFonts w:ascii="Arial" w:hAnsi="Arial"/>
        <w:i/>
        <w:color w:val="9C3A37" w:themeColor="accent2" w:themeTint="97" w:themeShade="95"/>
        <w:sz w:val="22"/>
      </w:rPr>
      <w:pPr>
        <w:jc w:val="right"/>
        <w:snapToGrid w:val="1"/>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pPr>
        <w:snapToGrid w:val="1"/>
      </w:p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pPr>
        <w:snapToGrid w:val="1"/>
      </w:p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pPr>
        <w:snapToGrid w:val="1"/>
      </w:pPr>
      <w:tcPr>
        <w:shd w:val="clear" w:color="auto" w:fill="FFFFFF" w:themeFill="light1"/>
        <w:tcBorders>
          <w:left w:val="none"/>
          <w:top w:val="single" w:color="000000" w:sz="4" w:space="0" w:themeColor="accent2" w:themeTint="97"/>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9C3A37" w:themeColor="accent2" w:themeTint="97" w:themeShade="95"/>
        <w:sz w:val="22"/>
      </w:rPr>
      <w:pPr>
        <w:snapToGrid w:val="1"/>
      </w:pPr>
    </w:tblStylePr>
  </w:style>
  <w:style w:type="table" w:styleId="145">
    <w:name w:val="List Table 7 Colorful - Accent 3"/>
    <w:basedOn w:val="30"/>
    <w:uiPriority w:val="99"/>
    <w:pPr>
      <w:snapToGrid w:val="1"/>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pPr>
        <w:snapToGrid w:val="1"/>
      </w:pPr>
      <w:tcPr>
        <w:shd w:val="clear" w:color="auto" w:fill="FFFFFF" w:themeFill="accent3" w:themeFillTint="40"/>
      </w:tcPr>
    </w:tblStylePr>
    <w:tblStylePr w:type="band1Vert">
      <w:pPr>
        <w:snapToGrid w:val="1"/>
      </w:pPr>
      <w:tcPr>
        <w:shd w:val="clear" w:color="auto" w:fill="FFFFFF" w:themeFill="accent3" w:themeFillTint="40"/>
      </w:tcPr>
    </w:tblStylePr>
    <w:tblStylePr w:type="band2Horz">
      <w:rPr>
        <w:rFonts w:ascii="Arial" w:hAnsi="Arial"/>
        <w:color w:val="7C983F" w:themeColor="accent3" w:themeTint="98" w:themeShade="95"/>
        <w:sz w:val="22"/>
      </w:rPr>
      <w:pPr>
        <w:snapToGrid w:val="1"/>
      </w:pPr>
    </w:tblStylePr>
    <w:tblStylePr w:type="band2Vert">
      <w:pPr>
        <w:snapToGrid w:val="1"/>
      </w:pPr>
    </w:tblStylePr>
    <w:tblStylePr w:type="firstCol">
      <w:rPr>
        <w:rFonts w:ascii="Arial" w:hAnsi="Arial"/>
        <w:i/>
        <w:color w:val="7C983F" w:themeColor="accent3" w:themeTint="98" w:themeShade="95"/>
        <w:sz w:val="22"/>
      </w:rPr>
      <w:pPr>
        <w:jc w:val="right"/>
        <w:snapToGrid w:val="1"/>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pPr>
        <w:snapToGrid w:val="1"/>
      </w:p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pPr>
        <w:snapToGrid w:val="1"/>
      </w:p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pPr>
        <w:snapToGrid w:val="1"/>
      </w:pPr>
      <w:tcPr>
        <w:shd w:val="clear" w:color="auto" w:fill="FFFFFF" w:themeFill="light1"/>
        <w:tcBorders>
          <w:left w:val="none"/>
          <w:top w:val="single" w:color="000000" w:sz="4" w:space="0" w:themeColor="accent3" w:themeTint="98"/>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7C983F" w:themeColor="accent3" w:themeTint="98" w:themeShade="95"/>
        <w:sz w:val="22"/>
      </w:rPr>
      <w:pPr>
        <w:snapToGrid w:val="1"/>
      </w:pPr>
    </w:tblStylePr>
  </w:style>
  <w:style w:type="table" w:styleId="146">
    <w:name w:val="List Table 7 Colorful - Accent 4"/>
    <w:basedOn w:val="30"/>
    <w:uiPriority w:val="99"/>
    <w:pPr>
      <w:snapToGrid w:val="1"/>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pPr>
        <w:snapToGrid w:val="1"/>
      </w:pPr>
      <w:tcPr>
        <w:shd w:val="clear" w:color="auto" w:fill="FFFFFF" w:themeFill="accent4" w:themeFillTint="40"/>
      </w:tcPr>
    </w:tblStylePr>
    <w:tblStylePr w:type="band1Vert">
      <w:pPr>
        <w:snapToGrid w:val="1"/>
      </w:pPr>
      <w:tcPr>
        <w:shd w:val="clear" w:color="auto" w:fill="FFFFFF" w:themeFill="accent4" w:themeFillTint="40"/>
      </w:tcPr>
    </w:tblStylePr>
    <w:tblStylePr w:type="band2Horz">
      <w:rPr>
        <w:rFonts w:ascii="Arial" w:hAnsi="Arial"/>
        <w:color w:val="664F82" w:themeColor="accent4" w:themeTint="9A" w:themeShade="95"/>
        <w:sz w:val="22"/>
      </w:rPr>
      <w:pPr>
        <w:snapToGrid w:val="1"/>
      </w:pPr>
    </w:tblStylePr>
    <w:tblStylePr w:type="band2Vert">
      <w:pPr>
        <w:snapToGrid w:val="1"/>
      </w:pPr>
    </w:tblStylePr>
    <w:tblStylePr w:type="firstCol">
      <w:rPr>
        <w:rFonts w:ascii="Arial" w:hAnsi="Arial"/>
        <w:i/>
        <w:color w:val="664F82" w:themeColor="accent4" w:themeTint="9A" w:themeShade="95"/>
        <w:sz w:val="22"/>
      </w:rPr>
      <w:pPr>
        <w:jc w:val="right"/>
        <w:snapToGrid w:val="1"/>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pPr>
        <w:snapToGrid w:val="1"/>
      </w:p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pPr>
        <w:snapToGrid w:val="1"/>
      </w:p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pPr>
        <w:snapToGrid w:val="1"/>
      </w:pPr>
      <w:tcPr>
        <w:shd w:val="clear" w:color="auto" w:fill="FFFFFF" w:themeFill="light1"/>
        <w:tcBorders>
          <w:left w:val="none"/>
          <w:top w:val="single" w:color="000000" w:sz="4" w:space="0" w:themeColor="accent4" w:themeTint="9A"/>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664F82" w:themeColor="accent4" w:themeTint="9A" w:themeShade="95"/>
        <w:sz w:val="22"/>
      </w:rPr>
      <w:pPr>
        <w:snapToGrid w:val="1"/>
      </w:pPr>
    </w:tblStylePr>
  </w:style>
  <w:style w:type="table" w:styleId="147">
    <w:name w:val="List Table 7 Colorful - Accent 5"/>
    <w:basedOn w:val="30"/>
    <w:uiPriority w:val="99"/>
    <w:pPr>
      <w:snapToGrid w:val="1"/>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pPr>
        <w:snapToGrid w:val="1"/>
      </w:pPr>
      <w:tcPr>
        <w:shd w:val="clear" w:color="auto" w:fill="FFFFFF" w:themeFill="accent5" w:themeFillTint="40"/>
      </w:tcPr>
    </w:tblStylePr>
    <w:tblStylePr w:type="band1Vert">
      <w:pPr>
        <w:snapToGrid w:val="1"/>
      </w:pPr>
      <w:tcPr>
        <w:shd w:val="clear" w:color="auto" w:fill="FFFFFF" w:themeFill="accent5" w:themeFillTint="40"/>
      </w:tcPr>
    </w:tblStylePr>
    <w:tblStylePr w:type="band2Horz">
      <w:rPr>
        <w:rFonts w:ascii="Arial" w:hAnsi="Arial"/>
        <w:color w:val="338AA0" w:themeColor="accent5" w:themeTint="9A" w:themeShade="95"/>
        <w:sz w:val="22"/>
      </w:rPr>
      <w:pPr>
        <w:snapToGrid w:val="1"/>
      </w:pPr>
    </w:tblStylePr>
    <w:tblStylePr w:type="band2Vert">
      <w:pPr>
        <w:snapToGrid w:val="1"/>
      </w:pPr>
    </w:tblStylePr>
    <w:tblStylePr w:type="firstCol">
      <w:rPr>
        <w:rFonts w:ascii="Arial" w:hAnsi="Arial"/>
        <w:i/>
        <w:color w:val="338AA0" w:themeColor="accent5" w:themeTint="9A" w:themeShade="95"/>
        <w:sz w:val="22"/>
      </w:rPr>
      <w:pPr>
        <w:jc w:val="right"/>
        <w:snapToGrid w:val="1"/>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pPr>
        <w:snapToGrid w:val="1"/>
      </w:p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pPr>
        <w:snapToGrid w:val="1"/>
      </w:p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pPr>
        <w:snapToGrid w:val="1"/>
      </w:pPr>
      <w:tcPr>
        <w:shd w:val="clear" w:color="auto" w:fill="FFFFFF" w:themeFill="light1"/>
        <w:tcBorders>
          <w:left w:val="none"/>
          <w:top w:val="single" w:color="000000" w:sz="4" w:space="0" w:themeColor="accent5" w:themeTint="9A"/>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338AA0" w:themeColor="accent5" w:themeTint="9A" w:themeShade="95"/>
        <w:sz w:val="22"/>
      </w:rPr>
      <w:pPr>
        <w:snapToGrid w:val="1"/>
      </w:pPr>
    </w:tblStylePr>
  </w:style>
  <w:style w:type="table" w:styleId="148">
    <w:name w:val="List Table 7 Colorful - Accent 6"/>
    <w:basedOn w:val="30"/>
    <w:uiPriority w:val="99"/>
    <w:pPr>
      <w:snapToGrid w:val="1"/>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pPr>
        <w:snapToGrid w:val="1"/>
      </w:pPr>
      <w:tcPr>
        <w:shd w:val="clear" w:color="auto" w:fill="FFFFFF" w:themeFill="accent6" w:themeFillTint="40"/>
      </w:tcPr>
    </w:tblStylePr>
    <w:tblStylePr w:type="band1Vert">
      <w:pPr>
        <w:snapToGrid w:val="1"/>
      </w:pPr>
      <w:tcPr>
        <w:shd w:val="clear" w:color="auto" w:fill="FFFFFF" w:themeFill="accent6" w:themeFillTint="40"/>
      </w:tcPr>
    </w:tblStylePr>
    <w:tblStylePr w:type="band2Horz">
      <w:rPr>
        <w:rFonts w:ascii="Arial" w:hAnsi="Arial"/>
        <w:color w:val="D9680C" w:themeColor="accent6" w:themeTint="98" w:themeShade="95"/>
        <w:sz w:val="22"/>
      </w:rPr>
      <w:pPr>
        <w:snapToGrid w:val="1"/>
      </w:pPr>
    </w:tblStylePr>
    <w:tblStylePr w:type="band2Vert">
      <w:pPr>
        <w:snapToGrid w:val="1"/>
      </w:pPr>
    </w:tblStylePr>
    <w:tblStylePr w:type="firstCol">
      <w:rPr>
        <w:rFonts w:ascii="Arial" w:hAnsi="Arial"/>
        <w:i/>
        <w:color w:val="D9680C" w:themeColor="accent6" w:themeTint="98" w:themeShade="95"/>
        <w:sz w:val="22"/>
      </w:rPr>
      <w:pPr>
        <w:jc w:val="right"/>
        <w:snapToGrid w:val="1"/>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pPr>
        <w:snapToGrid w:val="1"/>
      </w:p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pPr>
        <w:snapToGrid w:val="1"/>
      </w:p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pPr>
        <w:snapToGrid w:val="1"/>
      </w:pPr>
      <w:tcPr>
        <w:shd w:val="clear" w:color="auto" w:fill="FFFFFF" w:themeFill="light1"/>
        <w:tcBorders>
          <w:left w:val="none"/>
          <w:top w:val="single" w:color="000000" w:sz="4" w:space="0" w:themeColor="accent6" w:themeTint="98"/>
          <w:right w:val="none"/>
          <w:bottom w:val="none"/>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rPr>
        <w:rFonts w:ascii="Arial" w:hAnsi="Arial"/>
        <w:color w:val="D9680C" w:themeColor="accent6" w:themeTint="98" w:themeShade="95"/>
        <w:sz w:val="22"/>
      </w:rPr>
      <w:pPr>
        <w:snapToGrid w:val="1"/>
      </w:pPr>
    </w:tblStylePr>
  </w:style>
  <w:style w:type="table" w:styleId="149">
    <w:name w:val="Lined - Accent"/>
    <w:basedOn w:val="30"/>
    <w:uiPriority w:val="99"/>
    <w:rPr>
      <w:color w:val="404040"/>
    </w:rPr>
    <w:pPr>
      <w:snapToGrid w:val="1"/>
      <w:spacing w:lineRule="auto" w:line="240" w:after="0"/>
    </w:pPr>
    <w:tblPr>
      <w:tblStyleRowBandSize w:val="1"/>
      <w:tblStyleColBandSize w:val="1"/>
      <w:tblInd w:w="0" w:type="dxa"/>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text1" w:themeFillTint="0D"/>
      </w:tcPr>
    </w:tblStylePr>
    <w:tblStylePr w:type="band2Vert">
      <w:rPr>
        <w:rFonts w:ascii="Arial" w:hAnsi="Arial"/>
        <w:color w:val="404040"/>
        <w:sz w:val="22"/>
      </w:rPr>
      <w:pPr>
        <w:snapToGrid w:val="1"/>
      </w:pPr>
      <w:tcPr>
        <w:shd w:val="clear" w:color="auto" w:fill="FFFFFF" w:themeFill="text1" w:themeFillTint="0D"/>
      </w:tcPr>
    </w:tblStylePr>
    <w:tblStylePr w:type="firstCol">
      <w:rPr>
        <w:rFonts w:ascii="Arial" w:hAnsi="Arial"/>
        <w:color w:val="F2F2F2"/>
        <w:sz w:val="22"/>
      </w:rPr>
      <w:pPr>
        <w:snapToGrid w:val="1"/>
      </w:pPr>
      <w:tcPr>
        <w:shd w:val="clear" w:color="auto" w:fill="FFFFFF" w:themeFill="text1" w:themeFillTint="80"/>
      </w:tcPr>
    </w:tblStylePr>
    <w:tblStylePr w:type="firstRow">
      <w:rPr>
        <w:rFonts w:ascii="Arial" w:hAnsi="Arial"/>
        <w:color w:val="F2F2F2"/>
        <w:sz w:val="22"/>
      </w:rPr>
      <w:pPr>
        <w:snapToGrid w:val="1"/>
      </w:pPr>
      <w:tcPr>
        <w:shd w:val="clear" w:color="auto" w:fill="FFFFFF" w:themeFill="text1" w:themeFillTint="80"/>
      </w:tcPr>
    </w:tblStylePr>
    <w:tblStylePr w:type="lastCol">
      <w:rPr>
        <w:rFonts w:ascii="Arial" w:hAnsi="Arial"/>
        <w:color w:val="F2F2F2"/>
        <w:sz w:val="22"/>
      </w:rPr>
      <w:pPr>
        <w:snapToGrid w:val="1"/>
      </w:pPr>
      <w:tcPr>
        <w:shd w:val="clear" w:color="auto" w:fill="FFFFFF" w:themeFill="text1" w:themeFillTint="80"/>
      </w:tcPr>
    </w:tblStylePr>
    <w:tblStylePr w:type="lastRow">
      <w:rPr>
        <w:rFonts w:ascii="Arial" w:hAnsi="Arial"/>
        <w:color w:val="F2F2F2"/>
        <w:sz w:val="22"/>
      </w:rPr>
      <w:pPr>
        <w:snapToGrid w:val="1"/>
      </w:pPr>
      <w:tcPr>
        <w:shd w:val="clear" w:color="auto" w:fill="FFFFFF" w:themeFill="text1" w:themeFillTint="80"/>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50">
    <w:name w:val="Lined - Accent 1"/>
    <w:basedOn w:val="30"/>
    <w:uiPriority w:val="99"/>
    <w:rPr>
      <w:color w:val="404040"/>
    </w:rPr>
    <w:pPr>
      <w:snapToGrid w:val="1"/>
      <w:spacing w:lineRule="auto" w:line="240" w:after="0"/>
    </w:pPr>
    <w:tblPr>
      <w:tblStyleRowBandSize w:val="1"/>
      <w:tblStyleColBandSize w:val="1"/>
      <w:tblInd w:w="0" w:type="dxa"/>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1" w:themeFillTint="50"/>
      </w:tcPr>
    </w:tblStylePr>
    <w:tblStylePr w:type="band2Vert">
      <w:rPr>
        <w:rFonts w:ascii="Arial" w:hAnsi="Arial"/>
        <w:color w:val="404040"/>
        <w:sz w:val="22"/>
      </w:rPr>
      <w:pPr>
        <w:snapToGrid w:val="1"/>
      </w:pPr>
      <w:tcPr>
        <w:shd w:val="clear" w:color="auto" w:fill="FFFFFF" w:themeFill="accent1" w:themeFillTint="50"/>
      </w:tcPr>
    </w:tblStylePr>
    <w:tblStylePr w:type="firstCol">
      <w:rPr>
        <w:rFonts w:ascii="Arial" w:hAnsi="Arial"/>
        <w:color w:val="F2F2F2"/>
        <w:sz w:val="22"/>
      </w:rPr>
      <w:pPr>
        <w:snapToGrid w:val="1"/>
      </w:pPr>
      <w:tcPr>
        <w:shd w:val="clear" w:color="auto" w:fill="FFFFFF" w:themeFill="accent1" w:themeFillTint="EA"/>
      </w:tcPr>
    </w:tblStylePr>
    <w:tblStylePr w:type="firstRow">
      <w:rPr>
        <w:rFonts w:ascii="Arial" w:hAnsi="Arial"/>
        <w:color w:val="F2F2F2"/>
        <w:sz w:val="22"/>
      </w:rPr>
      <w:pPr>
        <w:snapToGrid w:val="1"/>
      </w:pPr>
      <w:tcPr>
        <w:shd w:val="clear" w:color="auto" w:fill="FFFFFF" w:themeFill="accent1" w:themeFillTint="EA"/>
      </w:tcPr>
    </w:tblStylePr>
    <w:tblStylePr w:type="lastCol">
      <w:rPr>
        <w:rFonts w:ascii="Arial" w:hAnsi="Arial"/>
        <w:color w:val="F2F2F2"/>
        <w:sz w:val="22"/>
      </w:rPr>
      <w:pPr>
        <w:snapToGrid w:val="1"/>
      </w:pPr>
      <w:tcPr>
        <w:shd w:val="clear" w:color="auto" w:fill="FFFFFF" w:themeFill="accent1" w:themeFillTint="EA"/>
      </w:tcPr>
    </w:tblStylePr>
    <w:tblStylePr w:type="lastRow">
      <w:rPr>
        <w:rFonts w:ascii="Arial" w:hAnsi="Arial"/>
        <w:color w:val="F2F2F2"/>
        <w:sz w:val="22"/>
      </w:rPr>
      <w:pPr>
        <w:snapToGrid w:val="1"/>
      </w:pPr>
      <w:tcPr>
        <w:shd w:val="clear" w:color="auto" w:fill="FFFFFF" w:themeFill="accent1" w:themeFillTint="EA"/>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51">
    <w:name w:val="Lined - Accent 2"/>
    <w:basedOn w:val="30"/>
    <w:uiPriority w:val="99"/>
    <w:rPr>
      <w:color w:val="404040"/>
    </w:rPr>
    <w:pPr>
      <w:snapToGrid w:val="1"/>
      <w:spacing w:lineRule="auto" w:line="240" w:after="0"/>
    </w:pPr>
    <w:tblPr>
      <w:tblStyleRowBandSize w:val="1"/>
      <w:tblStyleColBandSize w:val="1"/>
      <w:tblInd w:w="0" w:type="dxa"/>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2" w:themeFillTint="32"/>
      </w:tcPr>
    </w:tblStylePr>
    <w:tblStylePr w:type="band2Vert">
      <w:rPr>
        <w:rFonts w:ascii="Arial" w:hAnsi="Arial"/>
        <w:color w:val="404040"/>
        <w:sz w:val="22"/>
      </w:rPr>
      <w:pPr>
        <w:snapToGrid w:val="1"/>
      </w:pPr>
      <w:tcPr>
        <w:shd w:val="clear" w:color="auto" w:fill="FFFFFF" w:themeFill="accent2" w:themeFillTint="32"/>
      </w:tcPr>
    </w:tblStylePr>
    <w:tblStylePr w:type="firstCol">
      <w:rPr>
        <w:rFonts w:ascii="Arial" w:hAnsi="Arial"/>
        <w:color w:val="F2F2F2"/>
        <w:sz w:val="22"/>
      </w:rPr>
      <w:pPr>
        <w:snapToGrid w:val="1"/>
      </w:pPr>
      <w:tcPr>
        <w:shd w:val="clear" w:color="auto" w:fill="FFFFFF" w:themeFill="accent2" w:themeFillTint="97"/>
      </w:tcPr>
    </w:tblStylePr>
    <w:tblStylePr w:type="firstRow">
      <w:rPr>
        <w:rFonts w:ascii="Arial" w:hAnsi="Arial"/>
        <w:color w:val="F2F2F2"/>
        <w:sz w:val="22"/>
      </w:rPr>
      <w:pPr>
        <w:snapToGrid w:val="1"/>
      </w:pPr>
      <w:tcPr>
        <w:shd w:val="clear" w:color="auto" w:fill="FFFFFF" w:themeFill="accent2" w:themeFillTint="97"/>
      </w:tcPr>
    </w:tblStylePr>
    <w:tblStylePr w:type="lastCol">
      <w:rPr>
        <w:rFonts w:ascii="Arial" w:hAnsi="Arial"/>
        <w:color w:val="F2F2F2"/>
        <w:sz w:val="22"/>
      </w:rPr>
      <w:pPr>
        <w:snapToGrid w:val="1"/>
      </w:pPr>
      <w:tcPr>
        <w:shd w:val="clear" w:color="auto" w:fill="FFFFFF" w:themeFill="accent2" w:themeFillTint="97"/>
      </w:tcPr>
    </w:tblStylePr>
    <w:tblStylePr w:type="lastRow">
      <w:rPr>
        <w:rFonts w:ascii="Arial" w:hAnsi="Arial"/>
        <w:color w:val="F2F2F2"/>
        <w:sz w:val="22"/>
      </w:rPr>
      <w:pPr>
        <w:snapToGrid w:val="1"/>
      </w:pPr>
      <w:tcPr>
        <w:shd w:val="clear" w:color="auto" w:fill="FFFFFF" w:themeFill="accent2" w:themeFillTint="97"/>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52">
    <w:name w:val="Lined - Accent 3"/>
    <w:basedOn w:val="30"/>
    <w:uiPriority w:val="99"/>
    <w:rPr>
      <w:color w:val="404040"/>
    </w:rPr>
    <w:pPr>
      <w:snapToGrid w:val="1"/>
      <w:spacing w:lineRule="auto" w:line="240" w:after="0"/>
    </w:pPr>
    <w:tblPr>
      <w:tblStyleRowBandSize w:val="1"/>
      <w:tblStyleColBandSize w:val="1"/>
      <w:tblInd w:w="0" w:type="dxa"/>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3" w:themeFillTint="34"/>
      </w:tcPr>
    </w:tblStylePr>
    <w:tblStylePr w:type="band2Vert">
      <w:rPr>
        <w:rFonts w:ascii="Arial" w:hAnsi="Arial"/>
        <w:color w:val="404040"/>
        <w:sz w:val="22"/>
      </w:rPr>
      <w:pPr>
        <w:snapToGrid w:val="1"/>
      </w:pPr>
      <w:tcPr>
        <w:shd w:val="clear" w:color="auto" w:fill="FFFFFF" w:themeFill="accent3" w:themeFillTint="34"/>
      </w:tcPr>
    </w:tblStylePr>
    <w:tblStylePr w:type="firstCol">
      <w:rPr>
        <w:rFonts w:ascii="Arial" w:hAnsi="Arial"/>
        <w:color w:val="F2F2F2"/>
        <w:sz w:val="22"/>
      </w:rPr>
      <w:pPr>
        <w:snapToGrid w:val="1"/>
      </w:pPr>
      <w:tcPr>
        <w:shd w:val="clear" w:color="auto" w:fill="FFFFFF" w:themeFill="accent3" w:themeFillTint="FE"/>
      </w:tcPr>
    </w:tblStylePr>
    <w:tblStylePr w:type="firstRow">
      <w:rPr>
        <w:rFonts w:ascii="Arial" w:hAnsi="Arial"/>
        <w:color w:val="F2F2F2"/>
        <w:sz w:val="22"/>
      </w:rPr>
      <w:pPr>
        <w:snapToGrid w:val="1"/>
      </w:pPr>
      <w:tcPr>
        <w:shd w:val="clear" w:color="auto" w:fill="FFFFFF" w:themeFill="accent3" w:themeFillTint="FE"/>
      </w:tcPr>
    </w:tblStylePr>
    <w:tblStylePr w:type="lastCol">
      <w:rPr>
        <w:rFonts w:ascii="Arial" w:hAnsi="Arial"/>
        <w:color w:val="F2F2F2"/>
        <w:sz w:val="22"/>
      </w:rPr>
      <w:pPr>
        <w:snapToGrid w:val="1"/>
      </w:pPr>
      <w:tcPr>
        <w:shd w:val="clear" w:color="auto" w:fill="FFFFFF" w:themeFill="accent3" w:themeFillTint="FE"/>
      </w:tcPr>
    </w:tblStylePr>
    <w:tblStylePr w:type="lastRow">
      <w:rPr>
        <w:rFonts w:ascii="Arial" w:hAnsi="Arial"/>
        <w:color w:val="F2F2F2"/>
        <w:sz w:val="22"/>
      </w:rPr>
      <w:pPr>
        <w:snapToGrid w:val="1"/>
      </w:pPr>
      <w:tcPr>
        <w:shd w:val="clear" w:color="auto" w:fill="FFFFFF" w:themeFill="accent3" w:themeFillTint="FE"/>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53">
    <w:name w:val="Lined - Accent 4"/>
    <w:basedOn w:val="30"/>
    <w:uiPriority w:val="99"/>
    <w:rPr>
      <w:color w:val="404040"/>
    </w:rPr>
    <w:pPr>
      <w:snapToGrid w:val="1"/>
      <w:spacing w:lineRule="auto" w:line="240" w:after="0"/>
    </w:pPr>
    <w:tblPr>
      <w:tblStyleRowBandSize w:val="1"/>
      <w:tblStyleColBandSize w:val="1"/>
      <w:tblInd w:w="0" w:type="dxa"/>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4" w:themeFillTint="34"/>
      </w:tcPr>
    </w:tblStylePr>
    <w:tblStylePr w:type="band2Vert">
      <w:rPr>
        <w:rFonts w:ascii="Arial" w:hAnsi="Arial"/>
        <w:color w:val="404040"/>
        <w:sz w:val="22"/>
      </w:rPr>
      <w:pPr>
        <w:snapToGrid w:val="1"/>
      </w:pPr>
      <w:tcPr>
        <w:shd w:val="clear" w:color="auto" w:fill="FFFFFF" w:themeFill="accent4" w:themeFillTint="34"/>
      </w:tcPr>
    </w:tblStylePr>
    <w:tblStylePr w:type="firstCol">
      <w:rPr>
        <w:rFonts w:ascii="Arial" w:hAnsi="Arial"/>
        <w:color w:val="F2F2F2"/>
        <w:sz w:val="22"/>
      </w:rPr>
      <w:pPr>
        <w:snapToGrid w:val="1"/>
      </w:pPr>
      <w:tcPr>
        <w:shd w:val="clear" w:color="auto" w:fill="FFFFFF" w:themeFill="accent4" w:themeFillTint="9A"/>
      </w:tcPr>
    </w:tblStylePr>
    <w:tblStylePr w:type="firstRow">
      <w:rPr>
        <w:rFonts w:ascii="Arial" w:hAnsi="Arial"/>
        <w:color w:val="F2F2F2"/>
        <w:sz w:val="22"/>
      </w:rPr>
      <w:pPr>
        <w:snapToGrid w:val="1"/>
      </w:pPr>
      <w:tcPr>
        <w:shd w:val="clear" w:color="auto" w:fill="FFFFFF" w:themeFill="accent4" w:themeFillTint="9A"/>
      </w:tcPr>
    </w:tblStylePr>
    <w:tblStylePr w:type="lastCol">
      <w:rPr>
        <w:rFonts w:ascii="Arial" w:hAnsi="Arial"/>
        <w:color w:val="F2F2F2"/>
        <w:sz w:val="22"/>
      </w:rPr>
      <w:pPr>
        <w:snapToGrid w:val="1"/>
      </w:pPr>
      <w:tcPr>
        <w:shd w:val="clear" w:color="auto" w:fill="FFFFFF" w:themeFill="accent4" w:themeFillTint="9A"/>
      </w:tcPr>
    </w:tblStylePr>
    <w:tblStylePr w:type="lastRow">
      <w:rPr>
        <w:rFonts w:ascii="Arial" w:hAnsi="Arial"/>
        <w:color w:val="F2F2F2"/>
        <w:sz w:val="22"/>
      </w:rPr>
      <w:pPr>
        <w:snapToGrid w:val="1"/>
      </w:pPr>
      <w:tcPr>
        <w:shd w:val="clear" w:color="auto" w:fill="FFFFFF" w:themeFill="accent4" w:themeFillTint="9A"/>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54">
    <w:name w:val="Lined - Accent 5"/>
    <w:basedOn w:val="30"/>
    <w:uiPriority w:val="99"/>
    <w:rPr>
      <w:color w:val="404040"/>
    </w:rPr>
    <w:pPr>
      <w:snapToGrid w:val="1"/>
      <w:spacing w:lineRule="auto" w:line="240" w:after="0"/>
    </w:pPr>
    <w:tblPr>
      <w:tblStyleRowBandSize w:val="1"/>
      <w:tblStyleColBandSize w:val="1"/>
      <w:tblInd w:w="0" w:type="dxa"/>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5" w:themeFillTint="34"/>
      </w:tcPr>
    </w:tblStylePr>
    <w:tblStylePr w:type="band2Vert">
      <w:rPr>
        <w:rFonts w:ascii="Arial" w:hAnsi="Arial"/>
        <w:color w:val="404040"/>
        <w:sz w:val="22"/>
      </w:rPr>
      <w:pPr>
        <w:snapToGrid w:val="1"/>
      </w:pPr>
      <w:tcPr>
        <w:shd w:val="clear" w:color="auto" w:fill="FFFFFF" w:themeFill="accent5" w:themeFillTint="34"/>
      </w:tcPr>
    </w:tblStylePr>
    <w:tblStylePr w:type="firstCol">
      <w:rPr>
        <w:rFonts w:ascii="Arial" w:hAnsi="Arial"/>
        <w:color w:val="F2F2F2"/>
        <w:sz w:val="22"/>
      </w:rPr>
      <w:pPr>
        <w:snapToGrid w:val="1"/>
      </w:pPr>
      <w:tcPr>
        <w:shd w:val="clear" w:color="auto" w:fill="FFFFFF" w:themeFill="accent5"/>
      </w:tcPr>
    </w:tblStylePr>
    <w:tblStylePr w:type="firstRow">
      <w:rPr>
        <w:rFonts w:ascii="Arial" w:hAnsi="Arial"/>
        <w:color w:val="F2F2F2"/>
        <w:sz w:val="22"/>
      </w:rPr>
      <w:pPr>
        <w:snapToGrid w:val="1"/>
      </w:pPr>
      <w:tcPr>
        <w:shd w:val="clear" w:color="auto" w:fill="FFFFFF" w:themeFill="accent5"/>
      </w:tcPr>
    </w:tblStylePr>
    <w:tblStylePr w:type="lastCol">
      <w:rPr>
        <w:rFonts w:ascii="Arial" w:hAnsi="Arial"/>
        <w:color w:val="F2F2F2"/>
        <w:sz w:val="22"/>
      </w:rPr>
      <w:pPr>
        <w:snapToGrid w:val="1"/>
      </w:pPr>
      <w:tcPr>
        <w:shd w:val="clear" w:color="auto" w:fill="FFFFFF" w:themeFill="accent5"/>
      </w:tcPr>
    </w:tblStylePr>
    <w:tblStylePr w:type="lastRow">
      <w:rPr>
        <w:rFonts w:ascii="Arial" w:hAnsi="Arial"/>
        <w:color w:val="F2F2F2"/>
        <w:sz w:val="22"/>
      </w:rPr>
      <w:pPr>
        <w:snapToGrid w:val="1"/>
      </w:pPr>
      <w:tcPr>
        <w:shd w:val="clear" w:color="auto" w:fill="FFFFFF" w:themeFill="accent5"/>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55">
    <w:name w:val="Lined - Accent 6"/>
    <w:basedOn w:val="30"/>
    <w:uiPriority w:val="99"/>
    <w:rPr>
      <w:color w:val="404040"/>
    </w:rPr>
    <w:pPr>
      <w:snapToGrid w:val="1"/>
      <w:spacing w:lineRule="auto" w:line="240" w:after="0"/>
    </w:pPr>
    <w:tblPr>
      <w:tblStyleRowBandSize w:val="1"/>
      <w:tblStyleColBandSize w:val="1"/>
      <w:tblInd w:w="0" w:type="dxa"/>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6" w:themeFillTint="34"/>
      </w:tcPr>
    </w:tblStylePr>
    <w:tblStylePr w:type="band2Vert">
      <w:rPr>
        <w:rFonts w:ascii="Arial" w:hAnsi="Arial"/>
        <w:color w:val="404040"/>
        <w:sz w:val="22"/>
      </w:rPr>
      <w:pPr>
        <w:snapToGrid w:val="1"/>
      </w:pPr>
      <w:tcPr>
        <w:shd w:val="clear" w:color="auto" w:fill="FFFFFF" w:themeFill="accent6" w:themeFillTint="34"/>
      </w:tcPr>
    </w:tblStylePr>
    <w:tblStylePr w:type="firstCol">
      <w:rPr>
        <w:rFonts w:ascii="Arial" w:hAnsi="Arial"/>
        <w:color w:val="F2F2F2"/>
        <w:sz w:val="22"/>
      </w:rPr>
      <w:pPr>
        <w:snapToGrid w:val="1"/>
      </w:pPr>
      <w:tcPr>
        <w:shd w:val="clear" w:color="auto" w:fill="FFFFFF" w:themeFill="accent6"/>
      </w:tcPr>
    </w:tblStylePr>
    <w:tblStylePr w:type="firstRow">
      <w:rPr>
        <w:rFonts w:ascii="Arial" w:hAnsi="Arial"/>
        <w:color w:val="F2F2F2"/>
        <w:sz w:val="22"/>
      </w:rPr>
      <w:pPr>
        <w:snapToGrid w:val="1"/>
      </w:pPr>
      <w:tcPr>
        <w:shd w:val="clear" w:color="auto" w:fill="FFFFFF" w:themeFill="accent6"/>
      </w:tcPr>
    </w:tblStylePr>
    <w:tblStylePr w:type="lastCol">
      <w:rPr>
        <w:rFonts w:ascii="Arial" w:hAnsi="Arial"/>
        <w:color w:val="F2F2F2"/>
        <w:sz w:val="22"/>
      </w:rPr>
      <w:pPr>
        <w:snapToGrid w:val="1"/>
      </w:pPr>
      <w:tcPr>
        <w:shd w:val="clear" w:color="auto" w:fill="FFFFFF" w:themeFill="accent6"/>
      </w:tcPr>
    </w:tblStylePr>
    <w:tblStylePr w:type="lastRow">
      <w:rPr>
        <w:rFonts w:ascii="Arial" w:hAnsi="Arial"/>
        <w:color w:val="F2F2F2"/>
        <w:sz w:val="22"/>
      </w:rPr>
      <w:pPr>
        <w:snapToGrid w:val="1"/>
      </w:pPr>
      <w:tcPr>
        <w:shd w:val="clear" w:color="auto" w:fill="FFFFFF" w:themeFill="accent6"/>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56">
    <w:name w:val="Bordered &amp; Lined - Accent"/>
    <w:basedOn w:val="30"/>
    <w:uiPriority w:val="99"/>
    <w:rPr>
      <w:color w:val="404040"/>
    </w:rPr>
    <w:pPr>
      <w:snapToGrid w:val="1"/>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text1" w:themeFillTint="0D"/>
      </w:tcPr>
    </w:tblStylePr>
    <w:tblStylePr w:type="band2Vert">
      <w:rPr>
        <w:rFonts w:ascii="Arial" w:hAnsi="Arial"/>
        <w:color w:val="404040"/>
        <w:sz w:val="22"/>
      </w:rPr>
      <w:pPr>
        <w:snapToGrid w:val="1"/>
      </w:pPr>
      <w:tcPr>
        <w:shd w:val="clear" w:color="auto" w:fill="FFFFFF" w:themeFill="text1" w:themeFillTint="0D"/>
      </w:tcPr>
    </w:tblStylePr>
    <w:tblStylePr w:type="firstCol">
      <w:rPr>
        <w:rFonts w:ascii="Arial" w:hAnsi="Arial"/>
        <w:color w:val="F2F2F2"/>
        <w:sz w:val="22"/>
      </w:rPr>
      <w:pPr>
        <w:snapToGrid w:val="1"/>
      </w:pPr>
      <w:tcPr>
        <w:shd w:val="clear" w:color="auto" w:fill="FFFFFF" w:themeFill="text1" w:themeFillTint="80"/>
      </w:tcPr>
    </w:tblStylePr>
    <w:tblStylePr w:type="firstRow">
      <w:rPr>
        <w:rFonts w:ascii="Arial" w:hAnsi="Arial"/>
        <w:color w:val="F2F2F2"/>
        <w:sz w:val="22"/>
      </w:rPr>
      <w:pPr>
        <w:snapToGrid w:val="1"/>
      </w:pPr>
      <w:tcPr>
        <w:shd w:val="clear" w:color="auto" w:fill="FFFFFF" w:themeFill="text1" w:themeFillTint="80"/>
      </w:tcPr>
    </w:tblStylePr>
    <w:tblStylePr w:type="lastCol">
      <w:rPr>
        <w:rFonts w:ascii="Arial" w:hAnsi="Arial"/>
        <w:color w:val="F2F2F2"/>
        <w:sz w:val="22"/>
      </w:rPr>
      <w:pPr>
        <w:snapToGrid w:val="1"/>
      </w:pPr>
      <w:tcPr>
        <w:shd w:val="clear" w:color="auto" w:fill="FFFFFF" w:themeFill="text1" w:themeFillTint="80"/>
      </w:tcPr>
    </w:tblStylePr>
    <w:tblStylePr w:type="lastRow">
      <w:rPr>
        <w:rFonts w:ascii="Arial" w:hAnsi="Arial"/>
        <w:color w:val="F2F2F2"/>
        <w:sz w:val="22"/>
      </w:rPr>
      <w:pPr>
        <w:snapToGrid w:val="1"/>
      </w:pPr>
      <w:tcPr>
        <w:shd w:val="clear" w:color="auto" w:fill="FFFFFF" w:themeFill="text1" w:themeFillTint="80"/>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57">
    <w:name w:val="Bordered &amp; Lined - Accent 1"/>
    <w:basedOn w:val="30"/>
    <w:uiPriority w:val="99"/>
    <w:rPr>
      <w:color w:val="404040"/>
    </w:rPr>
    <w:pPr>
      <w:snapToGrid w:val="1"/>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1" w:themeFillTint="50"/>
      </w:tcPr>
    </w:tblStylePr>
    <w:tblStylePr w:type="band2Vert">
      <w:rPr>
        <w:rFonts w:ascii="Arial" w:hAnsi="Arial"/>
        <w:color w:val="404040"/>
        <w:sz w:val="22"/>
      </w:rPr>
      <w:pPr>
        <w:snapToGrid w:val="1"/>
      </w:pPr>
      <w:tcPr>
        <w:shd w:val="clear" w:color="auto" w:fill="FFFFFF" w:themeFill="accent1" w:themeFillTint="50"/>
      </w:tcPr>
    </w:tblStylePr>
    <w:tblStylePr w:type="firstCol">
      <w:rPr>
        <w:rFonts w:ascii="Arial" w:hAnsi="Arial"/>
        <w:color w:val="F2F2F2"/>
        <w:sz w:val="22"/>
      </w:rPr>
      <w:pPr>
        <w:snapToGrid w:val="1"/>
      </w:pPr>
      <w:tcPr>
        <w:shd w:val="clear" w:color="auto" w:fill="FFFFFF" w:themeFill="accent1" w:themeFillTint="EA"/>
      </w:tcPr>
    </w:tblStylePr>
    <w:tblStylePr w:type="firstRow">
      <w:rPr>
        <w:rFonts w:ascii="Arial" w:hAnsi="Arial"/>
        <w:color w:val="F2F2F2"/>
        <w:sz w:val="22"/>
      </w:rPr>
      <w:pPr>
        <w:snapToGrid w:val="1"/>
      </w:pPr>
      <w:tcPr>
        <w:shd w:val="clear" w:color="auto" w:fill="FFFFFF" w:themeFill="accent1" w:themeFillTint="EA"/>
      </w:tcPr>
    </w:tblStylePr>
    <w:tblStylePr w:type="lastCol">
      <w:rPr>
        <w:rFonts w:ascii="Arial" w:hAnsi="Arial"/>
        <w:color w:val="F2F2F2"/>
        <w:sz w:val="22"/>
      </w:rPr>
      <w:pPr>
        <w:snapToGrid w:val="1"/>
      </w:pPr>
      <w:tcPr>
        <w:shd w:val="clear" w:color="auto" w:fill="FFFFFF" w:themeFill="accent1" w:themeFillTint="EA"/>
      </w:tcPr>
    </w:tblStylePr>
    <w:tblStylePr w:type="lastRow">
      <w:rPr>
        <w:rFonts w:ascii="Arial" w:hAnsi="Arial"/>
        <w:color w:val="F2F2F2"/>
        <w:sz w:val="22"/>
      </w:rPr>
      <w:pPr>
        <w:snapToGrid w:val="1"/>
      </w:pPr>
      <w:tcPr>
        <w:shd w:val="clear" w:color="auto" w:fill="FFFFFF" w:themeFill="accent1" w:themeFillTint="EA"/>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58">
    <w:name w:val="Bordered &amp; Lined - Accent 2"/>
    <w:basedOn w:val="30"/>
    <w:uiPriority w:val="99"/>
    <w:rPr>
      <w:color w:val="404040"/>
    </w:rPr>
    <w:pPr>
      <w:snapToGrid w:val="1"/>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2" w:themeFillTint="32"/>
      </w:tcPr>
    </w:tblStylePr>
    <w:tblStylePr w:type="band2Vert">
      <w:rPr>
        <w:rFonts w:ascii="Arial" w:hAnsi="Arial"/>
        <w:color w:val="404040"/>
        <w:sz w:val="22"/>
      </w:rPr>
      <w:pPr>
        <w:snapToGrid w:val="1"/>
      </w:pPr>
      <w:tcPr>
        <w:shd w:val="clear" w:color="auto" w:fill="FFFFFF" w:themeFill="accent2" w:themeFillTint="32"/>
      </w:tcPr>
    </w:tblStylePr>
    <w:tblStylePr w:type="firstCol">
      <w:rPr>
        <w:rFonts w:ascii="Arial" w:hAnsi="Arial"/>
        <w:color w:val="F2F2F2"/>
        <w:sz w:val="22"/>
      </w:rPr>
      <w:pPr>
        <w:snapToGrid w:val="1"/>
      </w:pPr>
      <w:tcPr>
        <w:shd w:val="clear" w:color="auto" w:fill="FFFFFF" w:themeFill="accent2" w:themeFillTint="97"/>
      </w:tcPr>
    </w:tblStylePr>
    <w:tblStylePr w:type="firstRow">
      <w:rPr>
        <w:rFonts w:ascii="Arial" w:hAnsi="Arial"/>
        <w:color w:val="F2F2F2"/>
        <w:sz w:val="22"/>
      </w:rPr>
      <w:pPr>
        <w:snapToGrid w:val="1"/>
      </w:pPr>
      <w:tcPr>
        <w:shd w:val="clear" w:color="auto" w:fill="FFFFFF" w:themeFill="accent2" w:themeFillTint="97"/>
      </w:tcPr>
    </w:tblStylePr>
    <w:tblStylePr w:type="lastCol">
      <w:rPr>
        <w:rFonts w:ascii="Arial" w:hAnsi="Arial"/>
        <w:color w:val="F2F2F2"/>
        <w:sz w:val="22"/>
      </w:rPr>
      <w:pPr>
        <w:snapToGrid w:val="1"/>
      </w:pPr>
      <w:tcPr>
        <w:shd w:val="clear" w:color="auto" w:fill="FFFFFF" w:themeFill="accent2" w:themeFillTint="97"/>
      </w:tcPr>
    </w:tblStylePr>
    <w:tblStylePr w:type="lastRow">
      <w:rPr>
        <w:rFonts w:ascii="Arial" w:hAnsi="Arial"/>
        <w:color w:val="F2F2F2"/>
        <w:sz w:val="22"/>
      </w:rPr>
      <w:pPr>
        <w:snapToGrid w:val="1"/>
      </w:pPr>
      <w:tcPr>
        <w:shd w:val="clear" w:color="auto" w:fill="FFFFFF" w:themeFill="accent2" w:themeFillTint="97"/>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59">
    <w:name w:val="Bordered &amp; Lined - Accent 3"/>
    <w:basedOn w:val="30"/>
    <w:uiPriority w:val="99"/>
    <w:rPr>
      <w:color w:val="404040"/>
    </w:rPr>
    <w:pPr>
      <w:snapToGrid w:val="1"/>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3" w:themeFillTint="34"/>
      </w:tcPr>
    </w:tblStylePr>
    <w:tblStylePr w:type="band2Vert">
      <w:rPr>
        <w:rFonts w:ascii="Arial" w:hAnsi="Arial"/>
        <w:color w:val="404040"/>
        <w:sz w:val="22"/>
      </w:rPr>
      <w:pPr>
        <w:snapToGrid w:val="1"/>
      </w:pPr>
      <w:tcPr>
        <w:shd w:val="clear" w:color="auto" w:fill="FFFFFF" w:themeFill="accent3" w:themeFillTint="34"/>
      </w:tcPr>
    </w:tblStylePr>
    <w:tblStylePr w:type="firstCol">
      <w:rPr>
        <w:rFonts w:ascii="Arial" w:hAnsi="Arial"/>
        <w:color w:val="F2F2F2"/>
        <w:sz w:val="22"/>
      </w:rPr>
      <w:pPr>
        <w:snapToGrid w:val="1"/>
      </w:pPr>
      <w:tcPr>
        <w:shd w:val="clear" w:color="auto" w:fill="FFFFFF" w:themeFill="accent3" w:themeFillTint="FE"/>
      </w:tcPr>
    </w:tblStylePr>
    <w:tblStylePr w:type="firstRow">
      <w:rPr>
        <w:rFonts w:ascii="Arial" w:hAnsi="Arial"/>
        <w:color w:val="F2F2F2"/>
        <w:sz w:val="22"/>
      </w:rPr>
      <w:pPr>
        <w:snapToGrid w:val="1"/>
      </w:pPr>
      <w:tcPr>
        <w:shd w:val="clear" w:color="auto" w:fill="FFFFFF" w:themeFill="accent3" w:themeFillTint="FE"/>
      </w:tcPr>
    </w:tblStylePr>
    <w:tblStylePr w:type="lastCol">
      <w:rPr>
        <w:rFonts w:ascii="Arial" w:hAnsi="Arial"/>
        <w:color w:val="F2F2F2"/>
        <w:sz w:val="22"/>
      </w:rPr>
      <w:pPr>
        <w:snapToGrid w:val="1"/>
      </w:pPr>
      <w:tcPr>
        <w:shd w:val="clear" w:color="auto" w:fill="FFFFFF" w:themeFill="accent3" w:themeFillTint="FE"/>
      </w:tcPr>
    </w:tblStylePr>
    <w:tblStylePr w:type="lastRow">
      <w:rPr>
        <w:rFonts w:ascii="Arial" w:hAnsi="Arial"/>
        <w:color w:val="F2F2F2"/>
        <w:sz w:val="22"/>
      </w:rPr>
      <w:pPr>
        <w:snapToGrid w:val="1"/>
      </w:pPr>
      <w:tcPr>
        <w:shd w:val="clear" w:color="auto" w:fill="FFFFFF" w:themeFill="accent3" w:themeFillTint="FE"/>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60">
    <w:name w:val="Bordered &amp; Lined - Accent 4"/>
    <w:basedOn w:val="30"/>
    <w:uiPriority w:val="99"/>
    <w:rPr>
      <w:color w:val="404040"/>
    </w:rPr>
    <w:pPr>
      <w:snapToGrid w:val="1"/>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4" w:themeFillTint="34"/>
      </w:tcPr>
    </w:tblStylePr>
    <w:tblStylePr w:type="band2Vert">
      <w:rPr>
        <w:rFonts w:ascii="Arial" w:hAnsi="Arial"/>
        <w:color w:val="404040"/>
        <w:sz w:val="22"/>
      </w:rPr>
      <w:pPr>
        <w:snapToGrid w:val="1"/>
      </w:pPr>
      <w:tcPr>
        <w:shd w:val="clear" w:color="auto" w:fill="FFFFFF" w:themeFill="accent4" w:themeFillTint="34"/>
      </w:tcPr>
    </w:tblStylePr>
    <w:tblStylePr w:type="firstCol">
      <w:rPr>
        <w:rFonts w:ascii="Arial" w:hAnsi="Arial"/>
        <w:color w:val="F2F2F2"/>
        <w:sz w:val="22"/>
      </w:rPr>
      <w:pPr>
        <w:snapToGrid w:val="1"/>
      </w:pPr>
      <w:tcPr>
        <w:shd w:val="clear" w:color="auto" w:fill="FFFFFF" w:themeFill="accent4" w:themeFillTint="9A"/>
      </w:tcPr>
    </w:tblStylePr>
    <w:tblStylePr w:type="firstRow">
      <w:rPr>
        <w:rFonts w:ascii="Arial" w:hAnsi="Arial"/>
        <w:color w:val="F2F2F2"/>
        <w:sz w:val="22"/>
      </w:rPr>
      <w:pPr>
        <w:snapToGrid w:val="1"/>
      </w:pPr>
      <w:tcPr>
        <w:shd w:val="clear" w:color="auto" w:fill="FFFFFF" w:themeFill="accent4" w:themeFillTint="9A"/>
      </w:tcPr>
    </w:tblStylePr>
    <w:tblStylePr w:type="lastCol">
      <w:rPr>
        <w:rFonts w:ascii="Arial" w:hAnsi="Arial"/>
        <w:color w:val="F2F2F2"/>
        <w:sz w:val="22"/>
      </w:rPr>
      <w:pPr>
        <w:snapToGrid w:val="1"/>
      </w:pPr>
      <w:tcPr>
        <w:shd w:val="clear" w:color="auto" w:fill="FFFFFF" w:themeFill="accent4" w:themeFillTint="9A"/>
      </w:tcPr>
    </w:tblStylePr>
    <w:tblStylePr w:type="lastRow">
      <w:rPr>
        <w:rFonts w:ascii="Arial" w:hAnsi="Arial"/>
        <w:color w:val="F2F2F2"/>
        <w:sz w:val="22"/>
      </w:rPr>
      <w:pPr>
        <w:snapToGrid w:val="1"/>
      </w:pPr>
      <w:tcPr>
        <w:shd w:val="clear" w:color="auto" w:fill="FFFFFF" w:themeFill="accent4" w:themeFillTint="9A"/>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61">
    <w:name w:val="Bordered &amp; Lined - Accent 5"/>
    <w:basedOn w:val="30"/>
    <w:uiPriority w:val="99"/>
    <w:rPr>
      <w:color w:val="404040"/>
    </w:rPr>
    <w:pPr>
      <w:snapToGrid w:val="1"/>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5" w:themeFillTint="34"/>
      </w:tcPr>
    </w:tblStylePr>
    <w:tblStylePr w:type="band2Vert">
      <w:rPr>
        <w:rFonts w:ascii="Arial" w:hAnsi="Arial"/>
        <w:color w:val="404040"/>
        <w:sz w:val="22"/>
      </w:rPr>
      <w:pPr>
        <w:snapToGrid w:val="1"/>
      </w:pPr>
      <w:tcPr>
        <w:shd w:val="clear" w:color="auto" w:fill="FFFFFF" w:themeFill="accent5" w:themeFillTint="34"/>
      </w:tcPr>
    </w:tblStylePr>
    <w:tblStylePr w:type="firstCol">
      <w:rPr>
        <w:rFonts w:ascii="Arial" w:hAnsi="Arial"/>
        <w:color w:val="F2F2F2"/>
        <w:sz w:val="22"/>
      </w:rPr>
      <w:pPr>
        <w:snapToGrid w:val="1"/>
      </w:pPr>
      <w:tcPr>
        <w:shd w:val="clear" w:color="auto" w:fill="FFFFFF" w:themeFill="accent5"/>
      </w:tcPr>
    </w:tblStylePr>
    <w:tblStylePr w:type="firstRow">
      <w:rPr>
        <w:rFonts w:ascii="Arial" w:hAnsi="Arial"/>
        <w:color w:val="F2F2F2"/>
        <w:sz w:val="22"/>
      </w:rPr>
      <w:pPr>
        <w:snapToGrid w:val="1"/>
      </w:pPr>
      <w:tcPr>
        <w:shd w:val="clear" w:color="auto" w:fill="FFFFFF" w:themeFill="accent5"/>
      </w:tcPr>
    </w:tblStylePr>
    <w:tblStylePr w:type="lastCol">
      <w:rPr>
        <w:rFonts w:ascii="Arial" w:hAnsi="Arial"/>
        <w:color w:val="F2F2F2"/>
        <w:sz w:val="22"/>
      </w:rPr>
      <w:pPr>
        <w:snapToGrid w:val="1"/>
      </w:pPr>
      <w:tcPr>
        <w:shd w:val="clear" w:color="auto" w:fill="FFFFFF" w:themeFill="accent5"/>
      </w:tcPr>
    </w:tblStylePr>
    <w:tblStylePr w:type="lastRow">
      <w:rPr>
        <w:rFonts w:ascii="Arial" w:hAnsi="Arial"/>
        <w:color w:val="F2F2F2"/>
        <w:sz w:val="22"/>
      </w:rPr>
      <w:pPr>
        <w:snapToGrid w:val="1"/>
      </w:pPr>
      <w:tcPr>
        <w:shd w:val="clear" w:color="auto" w:fill="FFFFFF" w:themeFill="accent5"/>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62">
    <w:name w:val="Bordered &amp; Lined - Accent 6"/>
    <w:basedOn w:val="30"/>
    <w:uiPriority w:val="99"/>
    <w:rPr>
      <w:color w:val="404040"/>
    </w:rPr>
    <w:pPr>
      <w:snapToGrid w:val="1"/>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pPr>
        <w:snapToGrid w:val="1"/>
      </w:pPr>
    </w:tblStylePr>
    <w:tblStylePr w:type="band1Vert">
      <w:rPr>
        <w:rFonts w:ascii="Arial" w:hAnsi="Arial"/>
        <w:color w:val="404040"/>
        <w:sz w:val="22"/>
      </w:rPr>
      <w:pPr>
        <w:snapToGrid w:val="1"/>
      </w:pPr>
    </w:tblStylePr>
    <w:tblStylePr w:type="band2Horz">
      <w:rPr>
        <w:rFonts w:ascii="Arial" w:hAnsi="Arial"/>
        <w:color w:val="404040"/>
        <w:sz w:val="22"/>
      </w:rPr>
      <w:pPr>
        <w:snapToGrid w:val="1"/>
      </w:pPr>
      <w:tcPr>
        <w:shd w:val="clear" w:color="auto" w:fill="FFFFFF" w:themeFill="accent6" w:themeFillTint="34"/>
      </w:tcPr>
    </w:tblStylePr>
    <w:tblStylePr w:type="band2Vert">
      <w:rPr>
        <w:rFonts w:ascii="Arial" w:hAnsi="Arial"/>
        <w:color w:val="404040"/>
        <w:sz w:val="22"/>
      </w:rPr>
      <w:pPr>
        <w:snapToGrid w:val="1"/>
      </w:pPr>
      <w:tcPr>
        <w:shd w:val="clear" w:color="auto" w:fill="FFFFFF" w:themeFill="accent6" w:themeFillTint="34"/>
      </w:tcPr>
    </w:tblStylePr>
    <w:tblStylePr w:type="firstCol">
      <w:rPr>
        <w:rFonts w:ascii="Arial" w:hAnsi="Arial"/>
        <w:color w:val="F2F2F2"/>
        <w:sz w:val="22"/>
      </w:rPr>
      <w:pPr>
        <w:snapToGrid w:val="1"/>
      </w:pPr>
      <w:tcPr>
        <w:shd w:val="clear" w:color="auto" w:fill="FFFFFF" w:themeFill="accent6"/>
      </w:tcPr>
    </w:tblStylePr>
    <w:tblStylePr w:type="firstRow">
      <w:rPr>
        <w:rFonts w:ascii="Arial" w:hAnsi="Arial"/>
        <w:color w:val="F2F2F2"/>
        <w:sz w:val="22"/>
      </w:rPr>
      <w:pPr>
        <w:snapToGrid w:val="1"/>
      </w:pPr>
      <w:tcPr>
        <w:shd w:val="clear" w:color="auto" w:fill="FFFFFF" w:themeFill="accent6"/>
      </w:tcPr>
    </w:tblStylePr>
    <w:tblStylePr w:type="lastCol">
      <w:rPr>
        <w:rFonts w:ascii="Arial" w:hAnsi="Arial"/>
        <w:color w:val="F2F2F2"/>
        <w:sz w:val="22"/>
      </w:rPr>
      <w:pPr>
        <w:snapToGrid w:val="1"/>
      </w:pPr>
      <w:tcPr>
        <w:shd w:val="clear" w:color="auto" w:fill="FFFFFF" w:themeFill="accent6"/>
      </w:tcPr>
    </w:tblStylePr>
    <w:tblStylePr w:type="lastRow">
      <w:rPr>
        <w:rFonts w:ascii="Arial" w:hAnsi="Arial"/>
        <w:color w:val="F2F2F2"/>
        <w:sz w:val="22"/>
      </w:rPr>
      <w:pPr>
        <w:snapToGrid w:val="1"/>
      </w:pPr>
      <w:tcPr>
        <w:shd w:val="clear" w:color="auto" w:fill="FFFFFF" w:themeFill="accent6"/>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63">
    <w:name w:val="Bordered"/>
    <w:basedOn w:val="30"/>
    <w:uiPriority w:val="99"/>
    <w:pPr>
      <w:snapToGrid w:val="1"/>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pPr>
        <w:snapToGrid w:val="1"/>
      </w:p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band1Vert">
      <w:pPr>
        <w:snapToGrid w:val="1"/>
      </w:pPr>
    </w:tblStylePr>
    <w:tblStylePr w:type="band2Horz">
      <w:pPr>
        <w:snapToGrid w:val="1"/>
      </w:pPr>
    </w:tblStylePr>
    <w:tblStylePr w:type="band2Vert">
      <w:pPr>
        <w:snapToGrid w:val="1"/>
      </w:pPr>
    </w:tblStylePr>
    <w:tblStylePr w:type="firstCol">
      <w:rPr>
        <w:rFonts w:ascii="Arial" w:hAnsi="Arial"/>
        <w:color w:val="404040"/>
        <w:sz w:val="22"/>
      </w:rPr>
      <w:pPr>
        <w:snapToGrid w:val="1"/>
      </w:pPr>
    </w:tblStylePr>
    <w:tblStylePr w:type="firstRow">
      <w:rPr>
        <w:rFonts w:ascii="Arial" w:hAnsi="Arial"/>
        <w:color w:val="404040"/>
        <w:sz w:val="22"/>
      </w:rPr>
      <w:pPr>
        <w:snapToGrid w:val="1"/>
      </w:pPr>
      <w:tcPr>
        <w:tcBorders>
          <w:bottom w:val="single" w:color="000000" w:sz="12" w:space="0" w:themeColor="text1" w:themeTint="80"/>
        </w:tcBorders>
      </w:tcPr>
    </w:tblStylePr>
    <w:tblStylePr w:type="lastCol">
      <w:rPr>
        <w:rFonts w:ascii="Arial" w:hAnsi="Arial"/>
        <w:color w:val="404040"/>
        <w:sz w:val="22"/>
      </w:rPr>
      <w:pPr>
        <w:snapToGrid w:val="1"/>
      </w:pPr>
      <w:tcPr>
        <w:tcBorders>
          <w:left w:val="single" w:color="000000" w:sz="12" w:space="0" w:themeColor="text1" w:themeTint="80"/>
        </w:tcBorders>
      </w:tcPr>
    </w:tblStylePr>
    <w:tblStylePr w:type="lastRow">
      <w:rPr>
        <w:rFonts w:ascii="Arial" w:hAnsi="Arial"/>
        <w:color w:val="404040"/>
        <w:sz w:val="22"/>
      </w:rPr>
      <w:pPr>
        <w:snapToGrid w:val="1"/>
      </w:pPr>
      <w:tcPr>
        <w:tcBorders>
          <w:top w:val="single" w:color="000000" w:sz="12" w:space="0" w:themeColor="text1" w:themeTint="80"/>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64">
    <w:name w:val="Bordered - Accent 1"/>
    <w:basedOn w:val="30"/>
    <w:uiPriority w:val="99"/>
    <w:pPr>
      <w:snapToGrid w:val="1"/>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pPr>
        <w:snapToGrid w:val="1"/>
      </w:p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band1Vert">
      <w:pPr>
        <w:snapToGrid w:val="1"/>
      </w:pPr>
    </w:tblStylePr>
    <w:tblStylePr w:type="band2Horz">
      <w:pPr>
        <w:snapToGrid w:val="1"/>
      </w:pPr>
    </w:tblStylePr>
    <w:tblStylePr w:type="band2Vert">
      <w:pPr>
        <w:snapToGrid w:val="1"/>
      </w:pPr>
    </w:tblStylePr>
    <w:tblStylePr w:type="firstCol">
      <w:rPr>
        <w:rFonts w:ascii="Arial" w:hAnsi="Arial"/>
        <w:color w:val="404040"/>
        <w:sz w:val="22"/>
      </w:rPr>
      <w:pPr>
        <w:snapToGrid w:val="1"/>
      </w:pPr>
    </w:tblStylePr>
    <w:tblStylePr w:type="firstRow">
      <w:rPr>
        <w:rFonts w:ascii="Arial" w:hAnsi="Arial"/>
        <w:color w:val="404040"/>
        <w:sz w:val="22"/>
      </w:rPr>
      <w:pPr>
        <w:snapToGrid w:val="1"/>
      </w:pPr>
      <w:tcPr>
        <w:tcBorders>
          <w:bottom w:val="single" w:color="000000" w:sz="12" w:space="0" w:themeColor="accent1"/>
        </w:tcBorders>
      </w:tcPr>
    </w:tblStylePr>
    <w:tblStylePr w:type="lastCol">
      <w:rPr>
        <w:rFonts w:ascii="Arial" w:hAnsi="Arial"/>
        <w:color w:val="404040"/>
        <w:sz w:val="22"/>
      </w:rPr>
      <w:pPr>
        <w:snapToGrid w:val="1"/>
      </w:pPr>
      <w:tcPr>
        <w:tcBorders>
          <w:left w:val="single" w:color="000000" w:sz="12" w:space="0" w:themeColor="accent1"/>
        </w:tcBorders>
      </w:tcPr>
    </w:tblStylePr>
    <w:tblStylePr w:type="lastRow">
      <w:rPr>
        <w:rFonts w:ascii="Arial" w:hAnsi="Arial"/>
        <w:color w:val="404040"/>
        <w:sz w:val="22"/>
      </w:rPr>
      <w:pPr>
        <w:snapToGrid w:val="1"/>
      </w:pPr>
      <w:tcPr>
        <w:tcBorders>
          <w:top w:val="single" w:color="000000" w:sz="12" w:space="0" w:themeColor="accent1"/>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65">
    <w:name w:val="Bordered - Accent 2"/>
    <w:basedOn w:val="30"/>
    <w:uiPriority w:val="99"/>
    <w:pPr>
      <w:snapToGrid w:val="1"/>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pPr>
        <w:snapToGrid w:val="1"/>
      </w:p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band1Vert">
      <w:pPr>
        <w:snapToGrid w:val="1"/>
      </w:pPr>
    </w:tblStylePr>
    <w:tblStylePr w:type="band2Horz">
      <w:pPr>
        <w:snapToGrid w:val="1"/>
      </w:pPr>
    </w:tblStylePr>
    <w:tblStylePr w:type="band2Vert">
      <w:pPr>
        <w:snapToGrid w:val="1"/>
      </w:pPr>
    </w:tblStylePr>
    <w:tblStylePr w:type="firstCol">
      <w:rPr>
        <w:rFonts w:ascii="Arial" w:hAnsi="Arial"/>
        <w:color w:val="404040"/>
        <w:sz w:val="22"/>
      </w:rPr>
      <w:pPr>
        <w:snapToGrid w:val="1"/>
      </w:pPr>
    </w:tblStylePr>
    <w:tblStylePr w:type="firstRow">
      <w:rPr>
        <w:rFonts w:ascii="Arial" w:hAnsi="Arial"/>
        <w:color w:val="404040"/>
        <w:sz w:val="22"/>
      </w:rPr>
      <w:pPr>
        <w:snapToGrid w:val="1"/>
      </w:pPr>
      <w:tcPr>
        <w:tcBorders>
          <w:bottom w:val="single" w:color="000000" w:sz="12" w:space="0" w:themeColor="accent2" w:themeTint="97"/>
        </w:tcBorders>
      </w:tcPr>
    </w:tblStylePr>
    <w:tblStylePr w:type="lastCol">
      <w:rPr>
        <w:rFonts w:ascii="Arial" w:hAnsi="Arial"/>
        <w:color w:val="404040"/>
        <w:sz w:val="22"/>
      </w:rPr>
      <w:pPr>
        <w:snapToGrid w:val="1"/>
      </w:pPr>
      <w:tcPr>
        <w:tcBorders>
          <w:left w:val="single" w:color="000000" w:sz="12" w:space="0" w:themeColor="accent2" w:themeTint="97"/>
        </w:tcBorders>
      </w:tcPr>
    </w:tblStylePr>
    <w:tblStylePr w:type="lastRow">
      <w:rPr>
        <w:rFonts w:ascii="Arial" w:hAnsi="Arial"/>
        <w:color w:val="404040"/>
        <w:sz w:val="22"/>
      </w:rPr>
      <w:pPr>
        <w:snapToGrid w:val="1"/>
      </w:pPr>
      <w:tcPr>
        <w:tcBorders>
          <w:top w:val="single" w:color="000000" w:sz="12" w:space="0" w:themeColor="accent2" w:themeTint="97"/>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66">
    <w:name w:val="Bordered - Accent 3"/>
    <w:basedOn w:val="30"/>
    <w:uiPriority w:val="99"/>
    <w:pPr>
      <w:snapToGrid w:val="1"/>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pPr>
        <w:snapToGrid w:val="1"/>
      </w:p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band1Vert">
      <w:pPr>
        <w:snapToGrid w:val="1"/>
      </w:pPr>
    </w:tblStylePr>
    <w:tblStylePr w:type="band2Horz">
      <w:pPr>
        <w:snapToGrid w:val="1"/>
      </w:pPr>
    </w:tblStylePr>
    <w:tblStylePr w:type="band2Vert">
      <w:pPr>
        <w:snapToGrid w:val="1"/>
      </w:pPr>
    </w:tblStylePr>
    <w:tblStylePr w:type="firstCol">
      <w:rPr>
        <w:rFonts w:ascii="Arial" w:hAnsi="Arial"/>
        <w:color w:val="404040"/>
        <w:sz w:val="22"/>
      </w:rPr>
      <w:pPr>
        <w:snapToGrid w:val="1"/>
      </w:pPr>
    </w:tblStylePr>
    <w:tblStylePr w:type="firstRow">
      <w:rPr>
        <w:rFonts w:ascii="Arial" w:hAnsi="Arial"/>
        <w:color w:val="404040"/>
        <w:sz w:val="22"/>
      </w:rPr>
      <w:pPr>
        <w:snapToGrid w:val="1"/>
      </w:pPr>
      <w:tcPr>
        <w:tcBorders>
          <w:bottom w:val="single" w:color="000000" w:sz="12" w:space="0" w:themeColor="accent3" w:themeTint="98"/>
        </w:tcBorders>
      </w:tcPr>
    </w:tblStylePr>
    <w:tblStylePr w:type="lastCol">
      <w:rPr>
        <w:rFonts w:ascii="Arial" w:hAnsi="Arial"/>
        <w:color w:val="404040"/>
        <w:sz w:val="22"/>
      </w:rPr>
      <w:pPr>
        <w:snapToGrid w:val="1"/>
      </w:pPr>
      <w:tcPr>
        <w:tcBorders>
          <w:left w:val="single" w:color="000000" w:sz="12" w:space="0" w:themeColor="accent3" w:themeTint="98"/>
        </w:tcBorders>
      </w:tcPr>
    </w:tblStylePr>
    <w:tblStylePr w:type="lastRow">
      <w:rPr>
        <w:rFonts w:ascii="Arial" w:hAnsi="Arial"/>
        <w:color w:val="404040"/>
        <w:sz w:val="22"/>
      </w:rPr>
      <w:pPr>
        <w:snapToGrid w:val="1"/>
      </w:pPr>
      <w:tcPr>
        <w:tcBorders>
          <w:top w:val="single" w:color="000000" w:sz="12" w:space="0" w:themeColor="accent3" w:themeTint="98"/>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67">
    <w:name w:val="Bordered - Accent 4"/>
    <w:basedOn w:val="30"/>
    <w:uiPriority w:val="99"/>
    <w:pPr>
      <w:snapToGrid w:val="1"/>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pPr>
        <w:snapToGrid w:val="1"/>
      </w:p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band1Vert">
      <w:pPr>
        <w:snapToGrid w:val="1"/>
      </w:pPr>
    </w:tblStylePr>
    <w:tblStylePr w:type="band2Horz">
      <w:pPr>
        <w:snapToGrid w:val="1"/>
      </w:pPr>
    </w:tblStylePr>
    <w:tblStylePr w:type="band2Vert">
      <w:pPr>
        <w:snapToGrid w:val="1"/>
      </w:pPr>
    </w:tblStylePr>
    <w:tblStylePr w:type="firstCol">
      <w:rPr>
        <w:rFonts w:ascii="Arial" w:hAnsi="Arial"/>
        <w:color w:val="404040"/>
        <w:sz w:val="22"/>
      </w:rPr>
      <w:pPr>
        <w:snapToGrid w:val="1"/>
      </w:pPr>
    </w:tblStylePr>
    <w:tblStylePr w:type="firstRow">
      <w:rPr>
        <w:rFonts w:ascii="Arial" w:hAnsi="Arial"/>
        <w:color w:val="404040"/>
        <w:sz w:val="22"/>
      </w:rPr>
      <w:pPr>
        <w:snapToGrid w:val="1"/>
      </w:pPr>
      <w:tcPr>
        <w:tcBorders>
          <w:bottom w:val="single" w:color="000000" w:sz="12" w:space="0" w:themeColor="accent4" w:themeTint="9A"/>
        </w:tcBorders>
      </w:tcPr>
    </w:tblStylePr>
    <w:tblStylePr w:type="lastCol">
      <w:rPr>
        <w:rFonts w:ascii="Arial" w:hAnsi="Arial"/>
        <w:color w:val="404040"/>
        <w:sz w:val="22"/>
      </w:rPr>
      <w:pPr>
        <w:snapToGrid w:val="1"/>
      </w:pPr>
      <w:tcPr>
        <w:tcBorders>
          <w:left w:val="single" w:color="000000" w:sz="12" w:space="0" w:themeColor="accent4" w:themeTint="9A"/>
        </w:tcBorders>
      </w:tcPr>
    </w:tblStylePr>
    <w:tblStylePr w:type="lastRow">
      <w:rPr>
        <w:rFonts w:ascii="Arial" w:hAnsi="Arial"/>
        <w:color w:val="404040"/>
        <w:sz w:val="22"/>
      </w:rPr>
      <w:pPr>
        <w:snapToGrid w:val="1"/>
      </w:pPr>
      <w:tcPr>
        <w:tcBorders>
          <w:top w:val="single" w:color="000000" w:sz="12" w:space="0" w:themeColor="accent4" w:themeTint="9A"/>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68">
    <w:name w:val="Bordered - Accent 5"/>
    <w:basedOn w:val="30"/>
    <w:uiPriority w:val="99"/>
    <w:pPr>
      <w:snapToGrid w:val="1"/>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pPr>
        <w:snapToGrid w:val="1"/>
      </w:p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band1Vert">
      <w:pPr>
        <w:snapToGrid w:val="1"/>
      </w:pPr>
    </w:tblStylePr>
    <w:tblStylePr w:type="band2Horz">
      <w:pPr>
        <w:snapToGrid w:val="1"/>
      </w:pPr>
    </w:tblStylePr>
    <w:tblStylePr w:type="band2Vert">
      <w:pPr>
        <w:snapToGrid w:val="1"/>
      </w:pPr>
    </w:tblStylePr>
    <w:tblStylePr w:type="firstCol">
      <w:rPr>
        <w:rFonts w:ascii="Arial" w:hAnsi="Arial"/>
        <w:color w:val="404040"/>
        <w:sz w:val="22"/>
      </w:rPr>
      <w:pPr>
        <w:snapToGrid w:val="1"/>
      </w:pPr>
    </w:tblStylePr>
    <w:tblStylePr w:type="firstRow">
      <w:rPr>
        <w:rFonts w:ascii="Arial" w:hAnsi="Arial"/>
        <w:color w:val="404040"/>
        <w:sz w:val="22"/>
      </w:rPr>
      <w:pPr>
        <w:snapToGrid w:val="1"/>
      </w:pPr>
      <w:tcPr>
        <w:tcBorders>
          <w:bottom w:val="single" w:color="000000" w:sz="12" w:space="0" w:themeColor="accent5" w:themeTint="9A"/>
        </w:tcBorders>
      </w:tcPr>
    </w:tblStylePr>
    <w:tblStylePr w:type="lastCol">
      <w:rPr>
        <w:rFonts w:ascii="Arial" w:hAnsi="Arial"/>
        <w:color w:val="404040"/>
        <w:sz w:val="22"/>
      </w:rPr>
      <w:pPr>
        <w:snapToGrid w:val="1"/>
      </w:pPr>
      <w:tcPr>
        <w:tcBorders>
          <w:left w:val="single" w:color="000000" w:sz="12" w:space="0" w:themeColor="accent5" w:themeTint="9A"/>
        </w:tcBorders>
      </w:tcPr>
    </w:tblStylePr>
    <w:tblStylePr w:type="lastRow">
      <w:rPr>
        <w:rFonts w:ascii="Arial" w:hAnsi="Arial"/>
        <w:color w:val="404040"/>
        <w:sz w:val="22"/>
      </w:rPr>
      <w:pPr>
        <w:snapToGrid w:val="1"/>
      </w:pPr>
      <w:tcPr>
        <w:tcBorders>
          <w:top w:val="single" w:color="000000" w:sz="12" w:space="0" w:themeColor="accent5" w:themeTint="9A"/>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table" w:styleId="169">
    <w:name w:val="Bordered - Accent 6"/>
    <w:basedOn w:val="30"/>
    <w:uiPriority w:val="99"/>
    <w:pPr>
      <w:snapToGrid w:val="1"/>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pPr>
        <w:snapToGrid w:val="1"/>
      </w:p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band1Vert">
      <w:pPr>
        <w:snapToGrid w:val="1"/>
      </w:pPr>
    </w:tblStylePr>
    <w:tblStylePr w:type="band2Horz">
      <w:pPr>
        <w:snapToGrid w:val="1"/>
      </w:pPr>
    </w:tblStylePr>
    <w:tblStylePr w:type="band2Vert">
      <w:pPr>
        <w:snapToGrid w:val="1"/>
      </w:pPr>
    </w:tblStylePr>
    <w:tblStylePr w:type="firstCol">
      <w:rPr>
        <w:rFonts w:ascii="Arial" w:hAnsi="Arial"/>
        <w:color w:val="404040"/>
        <w:sz w:val="22"/>
      </w:rPr>
      <w:pPr>
        <w:snapToGrid w:val="1"/>
      </w:pPr>
    </w:tblStylePr>
    <w:tblStylePr w:type="firstRow">
      <w:rPr>
        <w:rFonts w:ascii="Arial" w:hAnsi="Arial"/>
        <w:color w:val="404040"/>
        <w:sz w:val="22"/>
      </w:rPr>
      <w:pPr>
        <w:snapToGrid w:val="1"/>
      </w:pPr>
      <w:tcPr>
        <w:tcBorders>
          <w:bottom w:val="single" w:color="000000" w:sz="12" w:space="0" w:themeColor="accent6" w:themeTint="98"/>
        </w:tcBorders>
      </w:tcPr>
    </w:tblStylePr>
    <w:tblStylePr w:type="lastCol">
      <w:rPr>
        <w:rFonts w:ascii="Arial" w:hAnsi="Arial"/>
        <w:color w:val="404040"/>
        <w:sz w:val="22"/>
      </w:rPr>
      <w:pPr>
        <w:snapToGrid w:val="1"/>
      </w:pPr>
      <w:tcPr>
        <w:tcBorders>
          <w:left w:val="single" w:color="000000" w:sz="12" w:space="0" w:themeColor="accent6" w:themeTint="98"/>
        </w:tcBorders>
      </w:tcPr>
    </w:tblStylePr>
    <w:tblStylePr w:type="lastRow">
      <w:rPr>
        <w:rFonts w:ascii="Arial" w:hAnsi="Arial"/>
        <w:color w:val="404040"/>
        <w:sz w:val="22"/>
      </w:rPr>
      <w:pPr>
        <w:snapToGrid w:val="1"/>
      </w:pPr>
      <w:tcPr>
        <w:tcBorders>
          <w:top w:val="single" w:color="000000" w:sz="12" w:space="0" w:themeColor="accent6" w:themeTint="98"/>
        </w:tcBorders>
      </w:tc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character" w:styleId="170">
    <w:name w:val="Hyperlink"/>
    <w:uiPriority w:val="99"/>
    <w:unhideWhenUsed/>
    <w:rPr>
      <w:color w:val="0000FF" w:themeColor="hyperlink"/>
      <w:u w:val="single"/>
    </w:rPr>
    <w:pPr>
      <w:snapToGrid w:val="1"/>
    </w:pPr>
  </w:style>
  <w:style w:type="paragraph" w:styleId="171">
    <w:name w:val="footnote text"/>
    <w:basedOn w:val="8"/>
    <w:link w:val="172"/>
    <w:uiPriority w:val="99"/>
    <w:semiHidden/>
    <w:unhideWhenUsed/>
    <w:rPr>
      <w:sz w:val="18"/>
    </w:rPr>
    <w:pPr>
      <w:snapToGrid w:val="1"/>
      <w:spacing w:lineRule="auto" w:line="240" w:after="40"/>
    </w:pPr>
  </w:style>
  <w:style w:type="character" w:styleId="172">
    <w:name w:val="Footnote Text Char"/>
    <w:link w:val="171"/>
    <w:uiPriority w:val="99"/>
    <w:rPr>
      <w:sz w:val="18"/>
    </w:rPr>
    <w:pPr>
      <w:snapToGrid w:val="1"/>
    </w:pPr>
  </w:style>
  <w:style w:type="character" w:styleId="173">
    <w:name w:val="footnote reference"/>
    <w:basedOn w:val="9"/>
    <w:uiPriority w:val="99"/>
    <w:unhideWhenUsed/>
    <w:rPr>
      <w:vertAlign w:val="superscript"/>
    </w:rPr>
    <w:pPr>
      <w:snapToGrid w:val="1"/>
    </w:pPr>
  </w:style>
  <w:style w:type="paragraph" w:styleId="174">
    <w:name w:val="toc 1"/>
    <w:basedOn w:val="8"/>
    <w:next w:val="8"/>
    <w:uiPriority w:val="39"/>
    <w:unhideWhenUsed/>
    <w:pPr>
      <w:ind w:left="0" w:right="0" w:firstLine="0"/>
      <w:snapToGrid w:val="1"/>
      <w:spacing w:after="57"/>
    </w:pPr>
  </w:style>
  <w:style w:type="paragraph" w:styleId="175">
    <w:name w:val="toc 2"/>
    <w:basedOn w:val="8"/>
    <w:next w:val="8"/>
    <w:uiPriority w:val="39"/>
    <w:unhideWhenUsed/>
    <w:pPr>
      <w:ind w:left="283" w:right="0" w:firstLine="0"/>
      <w:snapToGrid w:val="1"/>
      <w:spacing w:after="57"/>
    </w:pPr>
  </w:style>
  <w:style w:type="paragraph" w:styleId="176">
    <w:name w:val="toc 3"/>
    <w:basedOn w:val="8"/>
    <w:next w:val="8"/>
    <w:uiPriority w:val="39"/>
    <w:unhideWhenUsed/>
    <w:pPr>
      <w:ind w:left="567" w:right="0" w:firstLine="0"/>
      <w:snapToGrid w:val="1"/>
      <w:spacing w:after="57"/>
    </w:pPr>
  </w:style>
  <w:style w:type="paragraph" w:styleId="177">
    <w:name w:val="toc 4"/>
    <w:basedOn w:val="8"/>
    <w:next w:val="8"/>
    <w:uiPriority w:val="39"/>
    <w:unhideWhenUsed/>
    <w:pPr>
      <w:ind w:left="850" w:right="0" w:firstLine="0"/>
      <w:snapToGrid w:val="1"/>
      <w:spacing w:after="57"/>
    </w:pPr>
  </w:style>
  <w:style w:type="paragraph" w:styleId="178">
    <w:name w:val="toc 5"/>
    <w:basedOn w:val="8"/>
    <w:next w:val="8"/>
    <w:uiPriority w:val="39"/>
    <w:unhideWhenUsed/>
    <w:pPr>
      <w:ind w:left="1134" w:right="0" w:firstLine="0"/>
      <w:snapToGrid w:val="1"/>
      <w:spacing w:after="57"/>
    </w:pPr>
  </w:style>
  <w:style w:type="paragraph" w:styleId="179">
    <w:name w:val="toc 6"/>
    <w:basedOn w:val="8"/>
    <w:next w:val="8"/>
    <w:uiPriority w:val="39"/>
    <w:unhideWhenUsed/>
    <w:pPr>
      <w:ind w:left="1417" w:right="0" w:firstLine="0"/>
      <w:snapToGrid w:val="1"/>
      <w:spacing w:after="57"/>
    </w:pPr>
  </w:style>
  <w:style w:type="paragraph" w:styleId="180">
    <w:name w:val="toc 7"/>
    <w:basedOn w:val="8"/>
    <w:next w:val="8"/>
    <w:uiPriority w:val="39"/>
    <w:unhideWhenUsed/>
    <w:pPr>
      <w:ind w:left="1701" w:right="0" w:firstLine="0"/>
      <w:snapToGrid w:val="1"/>
      <w:spacing w:after="57"/>
    </w:pPr>
  </w:style>
  <w:style w:type="paragraph" w:styleId="181">
    <w:name w:val="toc 8"/>
    <w:basedOn w:val="8"/>
    <w:next w:val="8"/>
    <w:uiPriority w:val="39"/>
    <w:unhideWhenUsed/>
    <w:pPr>
      <w:ind w:left="1984" w:right="0" w:firstLine="0"/>
      <w:snapToGrid w:val="1"/>
      <w:spacing w:after="57"/>
    </w:pPr>
  </w:style>
  <w:style w:type="paragraph" w:styleId="182">
    <w:name w:val="toc 9"/>
    <w:basedOn w:val="8"/>
    <w:next w:val="8"/>
    <w:uiPriority w:val="39"/>
    <w:unhideWhenUsed/>
    <w:pPr>
      <w:ind w:left="2268" w:right="0" w:firstLine="0"/>
      <w:snapToGrid w:val="1"/>
      <w:spacing w:after="57"/>
    </w:pPr>
  </w:style>
  <w:style w:type="paragraph" w:styleId="183">
    <w:name w:val="TOC Heading"/>
    <w:uiPriority w:val="39"/>
    <w:unhideWhenUsed/>
    <w:pPr>
      <w:snapToGrid w:val="1"/>
    </w:pPr>
  </w:style>
  <w:style w:type="paragraph" w:styleId="369">
    <w:name w:val="正文"/>
    <w:next w:val="369"/>
    <w:link w:val="369"/>
    <w:rPr>
      <w:sz w:val="21"/>
      <w:lang w:val="en-US" w:bidi="ar-SA" w:eastAsia="zh-CN"/>
    </w:rPr>
    <w:pPr>
      <w:jc w:val="both"/>
      <w:snapToGrid w:val="1"/>
      <w:widowControl w:val="off"/>
    </w:pPr>
  </w:style>
  <w:style w:type="paragraph" w:styleId="370">
    <w:name w:val="标题 1"/>
    <w:basedOn w:val="369"/>
    <w:next w:val="369"/>
    <w:link w:val="369"/>
    <w:rPr>
      <w:rFonts w:ascii="宋体"/>
      <w:b/>
      <w:color w:val="000000"/>
      <w:sz w:val="24"/>
    </w:rPr>
    <w:pPr>
      <w:snapToGrid w:val="1"/>
      <w:keepLines/>
      <w:keepNext/>
      <w:spacing w:lineRule="auto" w:line="360" w:after="120" w:afterAutospacing="0" w:before="120" w:beforeAutospacing="0"/>
      <w:outlineLvl w:val="0"/>
    </w:pPr>
  </w:style>
  <w:style w:type="paragraph" w:styleId="371">
    <w:name w:val="标题 2"/>
    <w:basedOn w:val="369"/>
    <w:next w:val="369"/>
    <w:link w:val="369"/>
    <w:rPr>
      <w:rFonts w:ascii="Arial" w:hAnsi="Arial" w:eastAsia="黑体"/>
      <w:b/>
      <w:sz w:val="32"/>
    </w:rPr>
    <w:pPr>
      <w:snapToGrid w:val="1"/>
      <w:keepLines/>
      <w:keepNext/>
      <w:spacing w:lineRule="auto" w:line="413" w:after="260" w:afterAutospacing="0" w:before="260" w:beforeAutospacing="0"/>
      <w:outlineLvl w:val="1"/>
    </w:pPr>
  </w:style>
  <w:style w:type="paragraph" w:styleId="372">
    <w:name w:val="标题 3"/>
    <w:basedOn w:val="369"/>
    <w:next w:val="369"/>
    <w:link w:val="369"/>
    <w:rPr>
      <w:b/>
      <w:sz w:val="32"/>
    </w:rPr>
    <w:pPr>
      <w:snapToGrid w:val="1"/>
      <w:keepLines/>
      <w:keepNext/>
      <w:spacing w:lineRule="auto" w:line="413" w:after="260" w:afterAutospacing="0" w:before="260" w:beforeAutospacing="0"/>
      <w:outlineLvl w:val="2"/>
    </w:pPr>
  </w:style>
  <w:style w:type="character" w:styleId="373">
    <w:name w:val="默认段落字体"/>
    <w:next w:val="373"/>
    <w:link w:val="369"/>
    <w:pPr>
      <w:snapToGrid w:val="1"/>
    </w:pPr>
  </w:style>
  <w:style w:type="table" w:styleId="374">
    <w:name w:val="普通表格"/>
    <w:next w:val="374"/>
    <w:link w:val="369"/>
    <w:semiHidden/>
    <w:pPr>
      <w:snapToGrid w:val="1"/>
    </w:pPr>
    <w:tblPr/>
    <w:tblStylePr w:type="band1Horz">
      <w:pPr>
        <w:snapToGrid w:val="1"/>
      </w:pPr>
    </w:tblStylePr>
    <w:tblStylePr w:type="band1Vert">
      <w:pPr>
        <w:snapToGrid w:val="1"/>
      </w:pPr>
    </w:tblStylePr>
    <w:tblStylePr w:type="band2Horz">
      <w:pPr>
        <w:snapToGrid w:val="1"/>
      </w:pPr>
    </w:tblStylePr>
    <w:tblStylePr w:type="band2Vert">
      <w:pPr>
        <w:snapToGrid w:val="1"/>
      </w:pPr>
    </w:tblStylePr>
    <w:tblStylePr w:type="firstCol">
      <w:pPr>
        <w:snapToGrid w:val="1"/>
      </w:pPr>
    </w:tblStylePr>
    <w:tblStylePr w:type="firstRow">
      <w:pPr>
        <w:snapToGrid w:val="1"/>
      </w:pPr>
    </w:tblStylePr>
    <w:tblStylePr w:type="lastCol">
      <w:pPr>
        <w:snapToGrid w:val="1"/>
      </w:pPr>
    </w:tblStylePr>
    <w:tblStylePr w:type="lastRow">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 w:type="numbering" w:styleId="375">
    <w:name w:val="无列表"/>
    <w:next w:val="375"/>
    <w:link w:val="369"/>
    <w:semiHidden/>
    <w:pPr>
      <w:snapToGrid w:val="1"/>
    </w:pPr>
  </w:style>
  <w:style w:type="character" w:styleId="376">
    <w:name w:val="超链接"/>
    <w:next w:val="376"/>
    <w:link w:val="369"/>
    <w:rPr>
      <w:color w:val="0000FF"/>
      <w:u w:val="single"/>
    </w:rPr>
    <w:pPr>
      <w:snapToGrid w:val="1"/>
    </w:pPr>
  </w:style>
  <w:style w:type="character" w:styleId="377">
    <w:name w:val="页码"/>
    <w:basedOn w:val="373"/>
    <w:next w:val="377"/>
    <w:link w:val="369"/>
    <w:pPr>
      <w:snapToGrid w:val="1"/>
    </w:pPr>
  </w:style>
  <w:style w:type="character" w:styleId="378">
    <w:name w:val="批注引用"/>
    <w:next w:val="378"/>
    <w:link w:val="369"/>
    <w:rPr>
      <w:sz w:val="21"/>
    </w:rPr>
    <w:pPr>
      <w:snapToGrid w:val="1"/>
    </w:pPr>
  </w:style>
  <w:style w:type="character" w:styleId="379">
    <w:name w:val="脚注引用"/>
    <w:next w:val="379"/>
    <w:link w:val="369"/>
    <w:rPr>
      <w:vertAlign w:val="superscript"/>
    </w:rPr>
    <w:pPr>
      <w:snapToGrid w:val="1"/>
    </w:pPr>
  </w:style>
  <w:style w:type="character" w:styleId="380">
    <w:name w:val="unnamed11"/>
    <w:next w:val="380"/>
    <w:link w:val="369"/>
    <w:rPr>
      <w:rFonts w:ascii="宋体" w:hAnsi="宋体" w:eastAsia="宋体"/>
      <w:sz w:val="18"/>
    </w:rPr>
    <w:pPr>
      <w:snapToGrid w:val="1"/>
    </w:pPr>
  </w:style>
  <w:style w:type="character" w:styleId="381">
    <w:name w:val="页眉 字符"/>
    <w:next w:val="381"/>
    <w:link w:val="369"/>
    <w:rPr>
      <w:sz w:val="18"/>
    </w:rPr>
    <w:pPr>
      <w:snapToGrid w:val="1"/>
    </w:pPr>
  </w:style>
  <w:style w:type="character" w:styleId="382">
    <w:name w:val="标题 Char"/>
    <w:next w:val="382"/>
    <w:link w:val="400"/>
    <w:rPr>
      <w:rFonts w:ascii="Cambria" w:hAnsi="Cambria"/>
      <w:b/>
      <w:sz w:val="32"/>
    </w:rPr>
    <w:pPr>
      <w:snapToGrid w:val="1"/>
    </w:pPr>
  </w:style>
  <w:style w:type="character" w:styleId="383">
    <w:name w:val="日期 Char"/>
    <w:next w:val="383"/>
    <w:link w:val="394"/>
    <w:semiHidden/>
    <w:rPr>
      <w:sz w:val="21"/>
    </w:rPr>
    <w:pPr>
      <w:snapToGrid w:val="1"/>
    </w:pPr>
  </w:style>
  <w:style w:type="character" w:styleId="384">
    <w:name w:val="页眉 Char"/>
    <w:next w:val="384"/>
    <w:link w:val="395"/>
    <w:rPr>
      <w:rFonts w:eastAsia="宋体"/>
      <w:sz w:val="18"/>
      <w:lang w:val="en-US" w:eastAsia="zh-CN"/>
    </w:rPr>
    <w:pPr>
      <w:snapToGrid w:val="1"/>
    </w:pPr>
  </w:style>
  <w:style w:type="character" w:styleId="385">
    <w:name w:val="批注文字 字符"/>
    <w:next w:val="385"/>
    <w:link w:val="369"/>
    <w:rPr>
      <w:sz w:val="21"/>
    </w:rPr>
    <w:pPr>
      <w:snapToGrid w:val="1"/>
    </w:pPr>
  </w:style>
  <w:style w:type="character" w:styleId="386">
    <w:name w:val="批注文字 Char"/>
    <w:next w:val="386"/>
    <w:link w:val="399"/>
    <w:rPr>
      <w:sz w:val="21"/>
    </w:rPr>
    <w:pPr>
      <w:snapToGrid w:val="1"/>
    </w:pPr>
  </w:style>
  <w:style w:type="character" w:styleId="387">
    <w:name w:val="页脚 Char"/>
    <w:next w:val="387"/>
    <w:link w:val="396"/>
    <w:rPr>
      <w:sz w:val="18"/>
    </w:rPr>
    <w:pPr>
      <w:snapToGrid w:val="1"/>
    </w:pPr>
  </w:style>
  <w:style w:type="character" w:styleId="388">
    <w:name w:val="正文文本 Char"/>
    <w:next w:val="388"/>
    <w:link w:val="398"/>
    <w:rPr>
      <w:rFonts w:ascii="宋体"/>
    </w:rPr>
    <w:pPr>
      <w:snapToGrid w:val="1"/>
    </w:pPr>
  </w:style>
  <w:style w:type="character" w:styleId="389">
    <w:name w:val="read"/>
    <w:basedOn w:val="373"/>
    <w:next w:val="389"/>
    <w:link w:val="369"/>
    <w:pPr>
      <w:snapToGrid w:val="1"/>
    </w:pPr>
  </w:style>
  <w:style w:type="paragraph" w:styleId="390">
    <w:name w:val="目录 3"/>
    <w:basedOn w:val="369"/>
    <w:next w:val="369"/>
    <w:link w:val="369"/>
    <w:pPr>
      <w:ind w:left="840"/>
      <w:snapToGrid w:val="1"/>
    </w:pPr>
  </w:style>
  <w:style w:type="paragraph" w:styleId="391">
    <w:name w:val="目录 1"/>
    <w:basedOn w:val="369"/>
    <w:next w:val="369"/>
    <w:link w:val="369"/>
    <w:pPr>
      <w:snapToGrid w:val="1"/>
      <w:spacing w:lineRule="auto" w:line="360"/>
      <w:tabs>
        <w:tab w:val="right" w:pos="8296" w:leader="dot"/>
      </w:tabs>
    </w:pPr>
  </w:style>
  <w:style w:type="paragraph" w:styleId="392">
    <w:name w:val="正文文本缩进 2"/>
    <w:basedOn w:val="369"/>
    <w:next w:val="392"/>
    <w:link w:val="369"/>
    <w:rPr>
      <w:rFonts w:ascii="仿宋_GB2312" w:eastAsia="仿宋_GB2312"/>
      <w:sz w:val="28"/>
    </w:rPr>
    <w:pPr>
      <w:ind w:firstLine="425"/>
      <w:snapToGrid w:val="1"/>
      <w:spacing w:lineRule="auto" w:line="360"/>
    </w:pPr>
  </w:style>
  <w:style w:type="paragraph" w:styleId="393">
    <w:name w:val="脚注文本"/>
    <w:basedOn w:val="369"/>
    <w:next w:val="393"/>
    <w:link w:val="369"/>
    <w:rPr>
      <w:sz w:val="18"/>
    </w:rPr>
    <w:pPr>
      <w:jc w:val="left"/>
      <w:snapToGrid w:val="1"/>
    </w:pPr>
  </w:style>
  <w:style w:type="paragraph" w:styleId="394">
    <w:name w:val="日期"/>
    <w:basedOn w:val="369"/>
    <w:next w:val="369"/>
    <w:link w:val="383"/>
    <w:pPr>
      <w:ind w:left="100"/>
      <w:snapToGrid w:val="1"/>
    </w:pPr>
  </w:style>
  <w:style w:type="paragraph" w:styleId="395">
    <w:name w:val="页眉"/>
    <w:basedOn w:val="369"/>
    <w:next w:val="395"/>
    <w:link w:val="384"/>
    <w:rPr>
      <w:sz w:val="18"/>
    </w:rPr>
    <w:pPr>
      <w:jc w:val="center"/>
      <w:snapToGrid w:val="1"/>
      <w:tabs>
        <w:tab w:val="center" w:pos="4153" w:leader="none"/>
        <w:tab w:val="right" w:pos="8306" w:leader="none"/>
      </w:tabs>
      <w:pBdr>
        <w:bottom w:val="single" w:color="000000" w:sz="6" w:space="1"/>
      </w:pBdr>
    </w:pPr>
  </w:style>
  <w:style w:type="paragraph" w:styleId="396">
    <w:name w:val="页脚"/>
    <w:basedOn w:val="369"/>
    <w:next w:val="396"/>
    <w:link w:val="387"/>
    <w:rPr>
      <w:sz w:val="18"/>
    </w:rPr>
    <w:pPr>
      <w:jc w:val="left"/>
      <w:snapToGrid w:val="1"/>
      <w:tabs>
        <w:tab w:val="center" w:pos="4153" w:leader="none"/>
        <w:tab w:val="right" w:pos="8306" w:leader="none"/>
      </w:tabs>
    </w:pPr>
  </w:style>
  <w:style w:type="paragraph" w:styleId="397">
    <w:name w:val="文档结构图"/>
    <w:basedOn w:val="369"/>
    <w:next w:val="397"/>
    <w:link w:val="369"/>
    <w:pPr>
      <w:snapToGrid w:val="1"/>
      <w:shd w:val="clear" w:color="auto" w:fill="000080"/>
    </w:pPr>
  </w:style>
  <w:style w:type="paragraph" w:styleId="398">
    <w:name w:val="正文文本"/>
    <w:basedOn w:val="369"/>
    <w:next w:val="398"/>
    <w:link w:val="388"/>
    <w:rPr>
      <w:rFonts w:ascii="宋体"/>
      <w:sz w:val="20"/>
    </w:rPr>
    <w:pPr>
      <w:jc w:val="left"/>
      <w:snapToGrid w:val="1"/>
      <w:spacing w:lineRule="auto" w:line="360"/>
    </w:pPr>
  </w:style>
  <w:style w:type="paragraph" w:styleId="399">
    <w:name w:val="批注文字"/>
    <w:basedOn w:val="369"/>
    <w:next w:val="399"/>
    <w:link w:val="386"/>
    <w:pPr>
      <w:jc w:val="left"/>
      <w:snapToGrid w:val="1"/>
    </w:pPr>
  </w:style>
  <w:style w:type="paragraph" w:styleId="400">
    <w:name w:val="标题"/>
    <w:basedOn w:val="369"/>
    <w:next w:val="369"/>
    <w:link w:val="382"/>
    <w:rPr>
      <w:rFonts w:ascii="Cambria" w:hAnsi="Cambria"/>
      <w:b/>
      <w:sz w:val="32"/>
    </w:rPr>
    <w:pPr>
      <w:jc w:val="center"/>
      <w:snapToGrid w:val="1"/>
      <w:spacing w:after="60" w:afterAutospacing="0" w:before="240" w:beforeAutospacing="0"/>
      <w:outlineLvl w:val="0"/>
    </w:pPr>
  </w:style>
  <w:style w:type="paragraph" w:styleId="401">
    <w:name w:val="正文缩进"/>
    <w:basedOn w:val="369"/>
    <w:next w:val="401"/>
    <w:link w:val="369"/>
    <w:pPr>
      <w:ind w:firstLine="420"/>
      <w:snapToGrid w:val="1"/>
    </w:pPr>
  </w:style>
  <w:style w:type="paragraph" w:styleId="402">
    <w:name w:val="纯文本"/>
    <w:basedOn w:val="369"/>
    <w:next w:val="402"/>
    <w:link w:val="369"/>
    <w:rPr>
      <w:rFonts w:ascii="宋体" w:hAnsi="Courier New"/>
    </w:rPr>
    <w:pPr>
      <w:snapToGrid w:val="1"/>
      <w:spacing w:lineRule="atLeast" w:line="312"/>
    </w:pPr>
  </w:style>
  <w:style w:type="paragraph" w:styleId="403">
    <w:name w:val="批注框文本"/>
    <w:basedOn w:val="369"/>
    <w:next w:val="403"/>
    <w:link w:val="369"/>
    <w:rPr>
      <w:sz w:val="18"/>
    </w:rPr>
    <w:pPr>
      <w:snapToGrid w:val="1"/>
    </w:pPr>
  </w:style>
  <w:style w:type="paragraph" w:styleId="404">
    <w:name w:val="批注主题"/>
    <w:basedOn w:val="399"/>
    <w:next w:val="399"/>
    <w:link w:val="369"/>
    <w:rPr>
      <w:b/>
    </w:rPr>
    <w:pPr>
      <w:snapToGrid w:val="1"/>
    </w:pPr>
  </w:style>
  <w:style w:type="paragraph" w:styleId="405">
    <w:name w:val="正文文本缩进 3"/>
    <w:basedOn w:val="369"/>
    <w:next w:val="405"/>
    <w:link w:val="369"/>
    <w:rPr>
      <w:color w:val="0000FF"/>
    </w:rPr>
    <w:pPr>
      <w:ind w:left="420" w:firstLine="435"/>
      <w:snapToGrid w:val="1"/>
      <w:spacing w:lineRule="auto" w:line="360"/>
    </w:pPr>
  </w:style>
  <w:style w:type="paragraph" w:styleId="406">
    <w:name w:val=" Char Char"/>
    <w:basedOn w:val="369"/>
    <w:next w:val="406"/>
    <w:link w:val="369"/>
    <w:pPr>
      <w:snapToGrid w:val="1"/>
    </w:pPr>
  </w:style>
  <w:style w:type="paragraph" w:styleId="407">
    <w:name w:val=" Char Char1"/>
    <w:basedOn w:val="369"/>
    <w:next w:val="407"/>
    <w:link w:val="369"/>
    <w:pPr>
      <w:snapToGrid w:val="1"/>
    </w:pPr>
  </w:style>
  <w:style w:type="paragraph" w:styleId="408">
    <w:name w:val="unnamed1"/>
    <w:basedOn w:val="369"/>
    <w:next w:val="408"/>
    <w:link w:val="369"/>
    <w:rPr>
      <w:rFonts w:ascii="宋体" w:hAnsi="宋体"/>
      <w:color w:val="000000"/>
      <w:sz w:val="18"/>
      <w:szCs w:val="18"/>
    </w:rPr>
    <w:pPr>
      <w:ind w:left="15" w:right="15"/>
      <w:snapToGrid w:val="1"/>
      <w:spacing w:after="60" w:before="60"/>
    </w:pPr>
  </w:style>
  <w:style w:type="paragraph" w:styleId="409">
    <w:name w:val="msonormal1"/>
    <w:next w:val="409"/>
    <w:link w:val="369"/>
    <w:rPr>
      <w:sz w:val="21"/>
      <w:lang w:val="en-US" w:bidi="ar-SA" w:eastAsia="zh-CN"/>
    </w:rPr>
    <w:pPr>
      <w:jc w:val="both"/>
      <w:snapToGrid w:val="1"/>
      <w:widowControl w:val="off"/>
    </w:pPr>
  </w:style>
  <w:style w:type="paragraph" w:styleId="410">
    <w:name w:val=" Char Char Char Char"/>
    <w:basedOn w:val="369"/>
    <w:next w:val="410"/>
    <w:link w:val="369"/>
    <w:pPr>
      <w:snapToGrid w:val="1"/>
      <w:tabs>
        <w:tab w:val="left" w:pos="360" w:leader="none"/>
      </w:tabs>
    </w:pPr>
  </w:style>
  <w:style w:type="paragraph" w:styleId="411">
    <w:name w:val="正文所"/>
    <w:basedOn w:val="369"/>
    <w:next w:val="411"/>
    <w:link w:val="369"/>
    <w:rPr>
      <w:rFonts w:ascii="宋体"/>
    </w:rPr>
    <w:pPr>
      <w:ind w:firstLine="420"/>
      <w:snapToGrid w:val="1"/>
      <w:spacing w:lineRule="auto" w:line="360"/>
    </w:pPr>
  </w:style>
  <w:style w:type="paragraph" w:styleId="412">
    <w:name w:val="List_bullet"/>
    <w:basedOn w:val="369"/>
    <w:next w:val="412"/>
    <w:link w:val="369"/>
    <w:rPr>
      <w:sz w:val="24"/>
    </w:rPr>
    <w:pPr>
      <w:numPr>
        <w:ilvl w:val="0"/>
        <w:numId w:val="1"/>
      </w:numPr>
      <w:jc w:val="left"/>
      <w:snapToGrid w:val="1"/>
      <w:widowControl/>
      <w:tabs>
        <w:tab w:val="left" w:pos="360" w:leader="none"/>
      </w:tabs>
    </w:pPr>
  </w:style>
  <w:style w:type="paragraph" w:styleId="413">
    <w:name w:val="Char"/>
    <w:basedOn w:val="369"/>
    <w:next w:val="413"/>
    <w:link w:val="369"/>
    <w:pPr>
      <w:snapToGrid w:val="1"/>
    </w:pPr>
  </w:style>
  <w:style w:type="paragraph" w:styleId="414">
    <w:name w:val="InfoBlue"/>
    <w:basedOn w:val="369"/>
    <w:next w:val="398"/>
    <w:link w:val="369"/>
    <w:rPr>
      <w:rFonts w:ascii="宋体" w:hAnsi="宋体"/>
    </w:rPr>
    <w:pPr>
      <w:ind w:left="420" w:hanging="420"/>
      <w:jc w:val="left"/>
      <w:snapToGrid w:val="1"/>
      <w:spacing w:lineRule="atLeast" w:line="240" w:after="120" w:afterAutospacing="0"/>
      <w:tabs>
        <w:tab w:val="left" w:pos="420" w:leader="none"/>
      </w:tabs>
    </w:pPr>
  </w:style>
  <w:style w:type="paragraph" w:styleId="415">
    <w:name w:val="Default"/>
    <w:next w:val="415"/>
    <w:link w:val="369"/>
    <w:rPr>
      <w:rFonts w:ascii="宋体"/>
      <w:color w:val="000000"/>
      <w:sz w:val="24"/>
      <w:lang w:val="en-US" w:bidi="ar-SA" w:eastAsia="zh-CN"/>
    </w:rPr>
    <w:pPr>
      <w:snapToGrid w:val="1"/>
      <w:widowControl w:val="off"/>
    </w:pPr>
  </w:style>
  <w:style w:type="paragraph" w:styleId="416">
    <w:name w:val="正文正文"/>
    <w:basedOn w:val="369"/>
    <w:next w:val="416"/>
    <w:link w:val="369"/>
    <w:rPr>
      <w:sz w:val="24"/>
    </w:rPr>
    <w:pPr>
      <w:ind w:firstLine="200"/>
      <w:snapToGrid w:val="1"/>
      <w:spacing w:lineRule="auto" w:line="360" w:after="78" w:afterAutospacing="0"/>
    </w:pPr>
  </w:style>
  <w:style w:type="paragraph" w:styleId="417">
    <w:name w:val="修订"/>
    <w:next w:val="417"/>
    <w:link w:val="369"/>
    <w:semiHidden/>
    <w:rPr>
      <w:sz w:val="21"/>
      <w:lang w:val="en-US" w:bidi="ar-SA" w:eastAsia="zh-CN"/>
    </w:rPr>
    <w:pPr>
      <w:snapToGrid w:val="1"/>
    </w:pPr>
  </w:style>
  <w:style w:type="paragraph" w:styleId="418">
    <w:name w:val=" Char"/>
    <w:basedOn w:val="369"/>
    <w:next w:val="418"/>
    <w:link w:val="369"/>
    <w:pPr>
      <w:snapToGrid w:val="1"/>
    </w:pPr>
  </w:style>
  <w:style w:type="character" w:styleId="12530" w:default="1">
    <w:name w:val="Default Paragraph Font"/>
    <w:uiPriority w:val="1"/>
    <w:semiHidden/>
    <w:unhideWhenUsed/>
    <w:pPr>
      <w:snapToGrid w:val="1"/>
    </w:pPr>
  </w:style>
  <w:style w:type="numbering" w:styleId="12531" w:default="1">
    <w:name w:val="No List"/>
    <w:uiPriority w:val="99"/>
    <w:semiHidden/>
    <w:unhideWhenUsed/>
    <w:pPr>
      <w:snapToGrid w:val="1"/>
    </w:pPr>
  </w:style>
  <w:style w:type="paragraph" w:styleId="12532" w:default="1">
    <w:name w:val="Normal"/>
    <w:qFormat/>
    <w:pPr>
      <w:snapToGrid w:val="1"/>
    </w:pPr>
  </w:style>
  <w:style w:type="table" w:styleId="12533" w:default="1">
    <w:name w:val="Normal Table"/>
    <w:uiPriority w:val="99"/>
    <w:semiHidden/>
    <w:unhideWhenUsed/>
    <w:pPr>
      <w:snapToGrid w:val="1"/>
    </w:pPr>
    <w:tblPr/>
    <w:tblStylePr w:type="band1Horz">
      <w:pPr>
        <w:snapToGrid w:val="1"/>
      </w:pPr>
    </w:tblStylePr>
    <w:tblStylePr w:type="band1Vert">
      <w:pPr>
        <w:snapToGrid w:val="1"/>
      </w:pPr>
    </w:tblStylePr>
    <w:tblStylePr w:type="band2Horz">
      <w:pPr>
        <w:snapToGrid w:val="1"/>
      </w:pPr>
    </w:tblStylePr>
    <w:tblStylePr w:type="band2Vert">
      <w:pPr>
        <w:snapToGrid w:val="1"/>
      </w:pPr>
    </w:tblStylePr>
    <w:tblStylePr w:type="firstCol">
      <w:pPr>
        <w:snapToGrid w:val="1"/>
      </w:pPr>
    </w:tblStylePr>
    <w:tblStylePr w:type="firstRow">
      <w:pPr>
        <w:snapToGrid w:val="1"/>
      </w:pPr>
    </w:tblStylePr>
    <w:tblStylePr w:type="lastCol">
      <w:pPr>
        <w:snapToGrid w:val="1"/>
      </w:pPr>
    </w:tblStylePr>
    <w:tblStylePr w:type="lastRow">
      <w:pPr>
        <w:snapToGrid w:val="1"/>
      </w:pPr>
    </w:tblStylePr>
    <w:tblStylePr w:type="nwCell">
      <w:pPr>
        <w:snapToGrid w:val="1"/>
      </w:pPr>
    </w:tblStylePr>
    <w:tblStylePr w:type="neCell">
      <w:pPr>
        <w:snapToGrid w:val="1"/>
      </w:pPr>
    </w:tblStylePr>
    <w:tblStylePr w:type="swCell">
      <w:pPr>
        <w:snapToGrid w:val="1"/>
      </w:pPr>
    </w:tblStylePr>
    <w:tblStylePr w:type="seCell">
      <w:pPr>
        <w:snapToGrid w:val="1"/>
      </w:pPr>
    </w:tblStylePr>
    <w:tblStylePr w:type="wholeTable">
      <w:pPr>
        <w:snapToGrid w:val="1"/>
      </w:pPr>
    </w:tblStyle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1.xml" /><Relationship Id="rId13" Type="http://schemas.openxmlformats.org/officeDocument/2006/relationships/footer" Target="footer2.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51changxie</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2021-09-27T03:04:23Z</dcterms:modified>
</cp:coreProperties>
</file>