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Times New Roman" w:eastAsia="方正小标宋_GBK"/>
          <w:sz w:val="36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sz w:val="36"/>
        </w:rPr>
        <w:t>交银理财稳享6个月定开2号理财产品定期报告（2022年第三季度）</w:t>
      </w:r>
    </w:p>
    <w:p>
      <w:pPr>
        <w:spacing w:line="480" w:lineRule="exact"/>
        <w:jc w:val="center"/>
        <w:rPr>
          <w:rFonts w:ascii="方正小标宋_GBK" w:hAnsi="Times New Roman" w:eastAsia="方正小标宋_GBK"/>
          <w:sz w:val="36"/>
        </w:rPr>
      </w:pP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尊敬的客户：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我司交银理财稳享</w:t>
      </w:r>
      <w:r>
        <w:rPr>
          <w:rFonts w:ascii="方正仿宋_GBK" w:hAnsi="方正仿宋_GBK" w:eastAsia="方正仿宋_GBK" w:cs="方正仿宋_GBK"/>
          <w:sz w:val="30"/>
        </w:rPr>
        <w:t>6个月定开2号理财产品(理财信息登记系统产品编码：Z7000921000268）2022年第三季度定期报告公告如下：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报告期为</w:t>
      </w:r>
      <w:r>
        <w:rPr>
          <w:rFonts w:ascii="方正仿宋_GBK" w:hAnsi="方正仿宋_GBK" w:eastAsia="方正仿宋_GBK" w:cs="方正仿宋_GBK"/>
          <w:sz w:val="30"/>
        </w:rPr>
        <w:t>2022年7月1日至2022年9月30日。</w:t>
      </w:r>
    </w:p>
    <w:p>
      <w:pPr>
        <w:spacing w:line="480" w:lineRule="exact"/>
        <w:ind w:firstLine="600" w:firstLineChars="200"/>
        <w:jc w:val="left"/>
        <w:rPr>
          <w:rFonts w:ascii="方正黑体_GBK" w:hAnsi="方正黑体_GBK" w:eastAsia="方正黑体_GBK" w:cs="方正黑体_GBK"/>
          <w:sz w:val="30"/>
        </w:rPr>
      </w:pPr>
      <w:r>
        <w:rPr>
          <w:rFonts w:hint="eastAsia" w:ascii="方正黑体_GBK" w:hAnsi="方正黑体_GBK" w:eastAsia="方正黑体_GBK" w:cs="方正黑体_GBK"/>
          <w:sz w:val="30"/>
        </w:rPr>
        <w:t>一、期末资产组合情况</w:t>
      </w:r>
    </w:p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1.1 直接/间接投资资产分布。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10"/>
        <w:gridCol w:w="89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投资资产分类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直接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间接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现金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0.04%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0.07%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债权类资产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34.90%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64.99%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99.89%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权益类资产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0.00%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0.00%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商品及金融衍生品类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0.00%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0.00%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合计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34.94%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65.06%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100.00%</w:t>
            </w:r>
          </w:p>
        </w:tc>
      </w:tr>
    </w:tbl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1.2 穿透后前十大资产明细。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32"/>
        <w:gridCol w:w="1656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资产名称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规模（万元）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LCTYJK信达资产6M220729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100,583.96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29.51%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41,591.04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25,536.70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7.49%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25,500.88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7.48%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18,024.58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14,194.94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4.17%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2021年记账式附息(十六期)国债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11,232.13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10,398.46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9,462.66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1003 他行存款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9,117.73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合计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265,643.08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77.95%</w:t>
            </w:r>
          </w:p>
        </w:tc>
      </w:tr>
    </w:tbl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1.3 非标准化债权类资产明细。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794"/>
        <w:gridCol w:w="1938"/>
        <w:gridCol w:w="1553"/>
        <w:gridCol w:w="1149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融资客户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项目名称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剩余融资期限（月）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项目年收益率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交易结构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风险状况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中国信达资产管理股份有限公司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LCTYJK信达资产6M220729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3.63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2.62%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拆放同业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正常类</w:t>
            </w:r>
          </w:p>
        </w:tc>
      </w:tr>
    </w:tbl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</w:p>
    <w:p>
      <w:pPr>
        <w:spacing w:line="480" w:lineRule="exact"/>
        <w:ind w:firstLine="600" w:firstLineChars="200"/>
        <w:jc w:val="left"/>
        <w:rPr>
          <w:rFonts w:ascii="方正黑体_GBK" w:hAnsi="方正黑体_GBK" w:eastAsia="方正黑体_GBK" w:cs="方正黑体_GBK"/>
          <w:sz w:val="30"/>
        </w:rPr>
      </w:pPr>
      <w:r>
        <w:rPr>
          <w:rFonts w:hint="eastAsia" w:ascii="方正黑体_GBK" w:hAnsi="方正黑体_GBK" w:eastAsia="方正黑体_GBK" w:cs="方正黑体_GBK"/>
          <w:sz w:val="30"/>
        </w:rPr>
        <w:t>二、报告期间关联交易发生情况</w:t>
      </w:r>
    </w:p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2.1 产品投资关联方</w:t>
      </w:r>
      <w:r>
        <w:rPr>
          <w:rFonts w:hint="eastAsia" w:ascii="方正楷体_GBK" w:hAnsi="方正楷体_GBK" w:eastAsia="方正楷体_GBK" w:cs="方正楷体_GBK"/>
          <w:sz w:val="30"/>
        </w:rPr>
        <w:t>发行、承销</w:t>
      </w:r>
      <w:r>
        <w:rPr>
          <w:rFonts w:ascii="方正楷体_GBK" w:hAnsi="方正楷体_GBK" w:eastAsia="方正楷体_GBK" w:cs="方正楷体_GBK"/>
          <w:sz w:val="30"/>
        </w:rPr>
        <w:t>的证券的情况。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报告期内，本产品未投资于关联方发行、承销的证券。</w:t>
      </w:r>
    </w:p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2.2 产品发生的其他关联交易。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报告期内，本产品未发生其他关联交易。</w:t>
      </w:r>
    </w:p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2.3 产品向关联方支付的费用。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16"/>
        <w:gridCol w:w="165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费用类型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累计发生金额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（万元）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关联方名称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销售手续费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206.52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托管费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16.52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交通银行股份有限公司</w:t>
            </w:r>
          </w:p>
        </w:tc>
      </w:tr>
    </w:tbl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</w:p>
    <w:p>
      <w:pPr>
        <w:spacing w:line="480" w:lineRule="exact"/>
        <w:ind w:firstLine="600" w:firstLineChars="200"/>
        <w:jc w:val="left"/>
        <w:rPr>
          <w:rFonts w:ascii="方正黑体_GBK" w:hAnsi="方正黑体_GBK" w:eastAsia="方正黑体_GBK" w:cs="方正黑体_GBK"/>
          <w:sz w:val="30"/>
        </w:rPr>
      </w:pPr>
      <w:r>
        <w:rPr>
          <w:rFonts w:hint="eastAsia" w:ascii="方正黑体_GBK" w:hAnsi="方正黑体_GBK" w:eastAsia="方正黑体_GBK" w:cs="方正黑体_GBK"/>
          <w:sz w:val="30"/>
        </w:rPr>
        <w:t>三、投资运作分析</w:t>
      </w:r>
    </w:p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3.1 基本情况。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06"/>
        <w:gridCol w:w="2244"/>
        <w:gridCol w:w="149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产品名称</w:t>
            </w:r>
          </w:p>
        </w:tc>
        <w:tc>
          <w:tcPr>
            <w:tcW w:w="0" w:type="auto"/>
            <w:gridSpan w:val="4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交银理财稳享</w:t>
            </w:r>
            <w:r>
              <w:rPr>
                <w:rFonts w:ascii="方正仿宋_GBK" w:hAnsi="方正仿宋_GBK" w:eastAsia="方正仿宋_GBK" w:cs="方正仿宋_GBK"/>
                <w:sz w:val="24"/>
              </w:rPr>
              <w:t>6个月定开2号理财产品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报告期末产品份额总额</w:t>
            </w:r>
          </w:p>
        </w:tc>
        <w:tc>
          <w:tcPr>
            <w:tcW w:w="0" w:type="auto"/>
            <w:gridSpan w:val="4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3,101,064,034.37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产品期末资产净值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（万元）</w:t>
            </w:r>
          </w:p>
        </w:tc>
        <w:tc>
          <w:tcPr>
            <w:tcW w:w="0" w:type="auto"/>
            <w:gridSpan w:val="4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326,103.88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期末杠杆水平</w:t>
            </w:r>
          </w:p>
        </w:tc>
        <w:tc>
          <w:tcPr>
            <w:tcW w:w="0" w:type="auto"/>
            <w:gridSpan w:val="4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104.50%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下属产品份额的销售名称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下属产品份额的销售代码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报告期末下属产品份额的总份额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报告期末下属产品份额的单位净值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报告期末下属产品份额的累计单位净值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交银理财稳享</w:t>
            </w:r>
            <w:r>
              <w:rPr>
                <w:rFonts w:ascii="方正仿宋_GBK" w:hAnsi="方正仿宋_GBK" w:eastAsia="方正仿宋_GBK" w:cs="方正仿宋_GBK"/>
                <w:sz w:val="24"/>
              </w:rPr>
              <w:t>6个月定开2号理财产品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5811221078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3,101,064,034.37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1.0389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1.0389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交银理财稳享</w:t>
            </w:r>
            <w:r>
              <w:rPr>
                <w:rFonts w:ascii="方正仿宋_GBK" w:hAnsi="方正仿宋_GBK" w:eastAsia="方正仿宋_GBK" w:cs="方正仿宋_GBK"/>
                <w:sz w:val="24"/>
              </w:rPr>
              <w:t>6个月定开2号理财产品B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5811222005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38,280,865.71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1.0222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1.0222</w:t>
            </w:r>
          </w:p>
        </w:tc>
      </w:tr>
    </w:tbl>
    <w:p>
      <w:pPr>
        <w:spacing w:line="360" w:lineRule="exact"/>
        <w:ind w:firstLine="480"/>
        <w:jc w:val="center"/>
        <w:rPr>
          <w:rFonts w:ascii="方正仿宋_GBK" w:hAnsi="方正仿宋_GBK" w:eastAsia="方正仿宋_GBK" w:cs="方正仿宋_GBK"/>
          <w:sz w:val="24"/>
        </w:rPr>
      </w:pPr>
    </w:p>
    <w:p>
      <w:pPr>
        <w:spacing w:line="480" w:lineRule="exact"/>
        <w:ind w:firstLine="600" w:firstLineChars="200"/>
        <w:jc w:val="left"/>
        <w:rPr>
          <w:rFonts w:ascii="方正楷体_GBK" w:hAnsi="方正楷体_GBK" w:eastAsia="方正楷体_GBK" w:cs="方正楷体_GBK"/>
          <w:sz w:val="30"/>
        </w:rPr>
      </w:pPr>
      <w:r>
        <w:rPr>
          <w:rFonts w:ascii="方正楷体_GBK" w:hAnsi="方正楷体_GBK" w:eastAsia="方正楷体_GBK" w:cs="方正楷体_GBK"/>
          <w:sz w:val="30"/>
        </w:rPr>
        <w:t>3.2 流动性风险分析。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开放式产品严格按照监管要求保留5%以上高流动性资产，开放前保留10%以上7日可变现资产，可通过现金头寸、卖出持仓债券、赎回相关资产等方式应对流动性。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</w:p>
    <w:p>
      <w:pPr>
        <w:spacing w:line="480" w:lineRule="exact"/>
        <w:ind w:firstLine="600" w:firstLineChars="200"/>
        <w:jc w:val="left"/>
        <w:rPr>
          <w:rFonts w:ascii="方正黑体_GBK" w:hAnsi="方正黑体_GBK" w:eastAsia="方正黑体_GBK" w:cs="方正黑体_GBK"/>
          <w:sz w:val="30"/>
        </w:rPr>
      </w:pPr>
      <w:r>
        <w:rPr>
          <w:rFonts w:hint="eastAsia" w:ascii="方正黑体_GBK" w:hAnsi="方正黑体_GBK" w:eastAsia="方正黑体_GBK" w:cs="方正黑体_GBK"/>
          <w:sz w:val="30"/>
        </w:rPr>
        <w:t>四、未来展望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2022年第三季度，随着疫情消退及复工复产，国内经济从阶段性底部逐渐回暖。</w:t>
      </w:r>
      <w:r>
        <w:rPr>
          <w:rFonts w:ascii="方正仿宋_GBK" w:hAnsi="方正仿宋_GBK" w:eastAsia="方正仿宋_GBK" w:cs="方正仿宋_GBK"/>
          <w:sz w:val="30"/>
        </w:rPr>
        <w:t>7</w:t>
      </w:r>
      <w:r>
        <w:rPr>
          <w:rFonts w:hint="eastAsia" w:ascii="方正仿宋_GBK" w:hAnsi="方正仿宋_GBK" w:eastAsia="方正仿宋_GBK" w:cs="方正仿宋_GBK"/>
          <w:sz w:val="30"/>
        </w:rPr>
        <w:t>、</w:t>
      </w:r>
      <w:r>
        <w:rPr>
          <w:rFonts w:ascii="方正仿宋_GBK" w:hAnsi="方正仿宋_GBK" w:eastAsia="方正仿宋_GBK" w:cs="方正仿宋_GBK"/>
          <w:sz w:val="30"/>
        </w:rPr>
        <w:t>8</w:t>
      </w:r>
      <w:r>
        <w:rPr>
          <w:rFonts w:hint="eastAsia" w:ascii="方正仿宋_GBK" w:hAnsi="方正仿宋_GBK" w:eastAsia="方正仿宋_GBK" w:cs="方正仿宋_GBK"/>
          <w:sz w:val="30"/>
        </w:rPr>
        <w:t>月极端天气过后，传统制造业旺季到来、电力紧缺问题得到缓解，制造业生产活动有所增强，制造业</w:t>
      </w:r>
      <w:r>
        <w:rPr>
          <w:rFonts w:ascii="方正仿宋_GBK" w:hAnsi="方正仿宋_GBK" w:eastAsia="方正仿宋_GBK" w:cs="方正仿宋_GBK"/>
          <w:sz w:val="30"/>
        </w:rPr>
        <w:t>PMI</w:t>
      </w:r>
      <w:r>
        <w:rPr>
          <w:rFonts w:hint="eastAsia" w:ascii="方正仿宋_GBK" w:hAnsi="方正仿宋_GBK" w:eastAsia="方正仿宋_GBK" w:cs="方正仿宋_GBK"/>
          <w:sz w:val="30"/>
        </w:rPr>
        <w:t>逐月提升至荣枯线以上，国内散点疫情对消费和服务业复苏产生影响，基建保持增速、出口增速放缓、房地产仍在探底，宽信用政策效果仍待观察。三季度社会融资及信贷规模在总量和结构上持续改善，广义货币（</w:t>
      </w:r>
      <w:r>
        <w:rPr>
          <w:rFonts w:ascii="方正仿宋_GBK" w:hAnsi="方正仿宋_GBK" w:eastAsia="方正仿宋_GBK" w:cs="方正仿宋_GBK"/>
          <w:sz w:val="30"/>
        </w:rPr>
        <w:t>M2</w:t>
      </w:r>
      <w:r>
        <w:rPr>
          <w:rFonts w:hint="eastAsia" w:ascii="方正仿宋_GBK" w:hAnsi="方正仿宋_GBK" w:eastAsia="方正仿宋_GBK" w:cs="方正仿宋_GBK"/>
          <w:sz w:val="30"/>
        </w:rPr>
        <w:t>）保持</w:t>
      </w:r>
      <w:r>
        <w:rPr>
          <w:rFonts w:ascii="方正仿宋_GBK" w:hAnsi="方正仿宋_GBK" w:eastAsia="方正仿宋_GBK" w:cs="方正仿宋_GBK"/>
          <w:sz w:val="30"/>
        </w:rPr>
        <w:t>10%</w:t>
      </w:r>
      <w:r>
        <w:rPr>
          <w:rFonts w:hint="eastAsia" w:ascii="方正仿宋_GBK" w:hAnsi="方正仿宋_GBK" w:eastAsia="方正仿宋_GBK" w:cs="方正仿宋_GBK"/>
          <w:sz w:val="30"/>
        </w:rPr>
        <w:t>以上。在海外衰退预期影响下，大宗商品价格下跌，叠加去年同期较高基数，</w:t>
      </w:r>
      <w:r>
        <w:rPr>
          <w:rFonts w:ascii="方正仿宋_GBK" w:hAnsi="方正仿宋_GBK" w:eastAsia="方正仿宋_GBK" w:cs="方正仿宋_GBK"/>
          <w:sz w:val="30"/>
        </w:rPr>
        <w:t>PPI</w:t>
      </w:r>
      <w:r>
        <w:rPr>
          <w:rFonts w:hint="eastAsia" w:ascii="方正仿宋_GBK" w:hAnsi="方正仿宋_GBK" w:eastAsia="方正仿宋_GBK" w:cs="方正仿宋_GBK"/>
          <w:sz w:val="30"/>
        </w:rPr>
        <w:t>同比持续显著回落。猪肉和鲜菜价格上涨引发</w:t>
      </w:r>
      <w:r>
        <w:rPr>
          <w:rFonts w:ascii="方正仿宋_GBK" w:hAnsi="方正仿宋_GBK" w:eastAsia="方正仿宋_GBK" w:cs="方正仿宋_GBK"/>
          <w:sz w:val="30"/>
        </w:rPr>
        <w:t>CPI</w:t>
      </w:r>
      <w:r>
        <w:rPr>
          <w:rFonts w:hint="eastAsia" w:ascii="方正仿宋_GBK" w:hAnsi="方正仿宋_GBK" w:eastAsia="方正仿宋_GBK" w:cs="方正仿宋_GBK"/>
          <w:sz w:val="30"/>
        </w:rPr>
        <w:t>明显上行，但核心</w:t>
      </w:r>
      <w:r>
        <w:rPr>
          <w:rFonts w:ascii="方正仿宋_GBK" w:hAnsi="方正仿宋_GBK" w:eastAsia="方正仿宋_GBK" w:cs="方正仿宋_GBK"/>
          <w:sz w:val="30"/>
        </w:rPr>
        <w:t>CPI</w:t>
      </w:r>
      <w:r>
        <w:rPr>
          <w:rFonts w:hint="eastAsia" w:ascii="方正仿宋_GBK" w:hAnsi="方正仿宋_GBK" w:eastAsia="方正仿宋_GBK" w:cs="方正仿宋_GBK"/>
          <w:sz w:val="30"/>
        </w:rPr>
        <w:t>涨幅有限。预计三季度</w:t>
      </w:r>
      <w:r>
        <w:rPr>
          <w:rFonts w:ascii="方正仿宋_GBK" w:hAnsi="方正仿宋_GBK" w:eastAsia="方正仿宋_GBK" w:cs="方正仿宋_GBK"/>
          <w:sz w:val="30"/>
        </w:rPr>
        <w:t>GDP</w:t>
      </w:r>
      <w:r>
        <w:rPr>
          <w:rFonts w:hint="eastAsia" w:ascii="方正仿宋_GBK" w:hAnsi="方正仿宋_GBK" w:eastAsia="方正仿宋_GBK" w:cs="方正仿宋_GBK"/>
          <w:sz w:val="30"/>
        </w:rPr>
        <w:t>同比增</w:t>
      </w:r>
      <w:r>
        <w:rPr>
          <w:rFonts w:ascii="方正仿宋_GBK" w:hAnsi="方正仿宋_GBK" w:eastAsia="方正仿宋_GBK" w:cs="方正仿宋_GBK"/>
          <w:sz w:val="30"/>
        </w:rPr>
        <w:t>3.3-4.2%</w:t>
      </w:r>
      <w:r>
        <w:rPr>
          <w:rFonts w:hint="eastAsia" w:ascii="方正仿宋_GBK" w:hAnsi="方正仿宋_GBK" w:eastAsia="方正仿宋_GBK" w:cs="方正仿宋_GBK"/>
          <w:sz w:val="30"/>
        </w:rPr>
        <w:t>，与二季度（</w:t>
      </w:r>
      <w:r>
        <w:rPr>
          <w:rFonts w:ascii="方正仿宋_GBK" w:hAnsi="方正仿宋_GBK" w:eastAsia="方正仿宋_GBK" w:cs="方正仿宋_GBK"/>
          <w:sz w:val="30"/>
        </w:rPr>
        <w:t>0.4%</w:t>
      </w:r>
      <w:r>
        <w:rPr>
          <w:rFonts w:hint="eastAsia" w:ascii="方正仿宋_GBK" w:hAnsi="方正仿宋_GBK" w:eastAsia="方正仿宋_GBK" w:cs="方正仿宋_GBK"/>
          <w:sz w:val="30"/>
        </w:rPr>
        <w:t>）的经济增速相比有较大提升。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三季度债券市场整体震荡上行。</w:t>
      </w:r>
      <w:r>
        <w:rPr>
          <w:rFonts w:ascii="方正仿宋_GBK" w:hAnsi="方正仿宋_GBK" w:eastAsia="方正仿宋_GBK" w:cs="方正仿宋_GBK"/>
          <w:sz w:val="30"/>
        </w:rPr>
        <w:t>7</w:t>
      </w:r>
      <w:r>
        <w:rPr>
          <w:rFonts w:hint="eastAsia" w:ascii="方正仿宋_GBK" w:hAnsi="方正仿宋_GBK" w:eastAsia="方正仿宋_GBK" w:cs="方正仿宋_GBK"/>
          <w:sz w:val="30"/>
        </w:rPr>
        <w:t>月以来资金面持续宽松，银行间隔夜回购利率在</w:t>
      </w:r>
      <w:r>
        <w:rPr>
          <w:rFonts w:ascii="方正仿宋_GBK" w:hAnsi="方正仿宋_GBK" w:eastAsia="方正仿宋_GBK" w:cs="方正仿宋_GBK"/>
          <w:sz w:val="30"/>
        </w:rPr>
        <w:t>1.2%</w:t>
      </w:r>
      <w:r>
        <w:rPr>
          <w:rFonts w:hint="eastAsia" w:ascii="方正仿宋_GBK" w:hAnsi="方正仿宋_GBK" w:eastAsia="方正仿宋_GBK" w:cs="方正仿宋_GBK"/>
          <w:sz w:val="30"/>
        </w:rPr>
        <w:t>以下，房地产断贷风波削弱市场对宽信用的信心，随后高层表态“不会为了过高增长目标而出台超大规模刺激措施、超发货币、预支未来”，市场对经济增速放缓形成一致预期，</w:t>
      </w:r>
      <w:r>
        <w:rPr>
          <w:rFonts w:ascii="方正仿宋_GBK" w:hAnsi="方正仿宋_GBK" w:eastAsia="方正仿宋_GBK" w:cs="方正仿宋_GBK"/>
          <w:sz w:val="30"/>
        </w:rPr>
        <w:t>10</w:t>
      </w:r>
      <w:r>
        <w:rPr>
          <w:rFonts w:hint="eastAsia" w:ascii="方正仿宋_GBK" w:hAnsi="方正仿宋_GBK" w:eastAsia="方正仿宋_GBK" w:cs="方正仿宋_GBK"/>
          <w:sz w:val="30"/>
        </w:rPr>
        <w:t>年国债收益率从</w:t>
      </w:r>
      <w:r>
        <w:rPr>
          <w:rFonts w:ascii="方正仿宋_GBK" w:hAnsi="方正仿宋_GBK" w:eastAsia="方正仿宋_GBK" w:cs="方正仿宋_GBK"/>
          <w:sz w:val="30"/>
        </w:rPr>
        <w:t>2.88%</w:t>
      </w:r>
      <w:r>
        <w:rPr>
          <w:rFonts w:hint="eastAsia" w:ascii="方正仿宋_GBK" w:hAnsi="方正仿宋_GBK" w:eastAsia="方正仿宋_GBK" w:cs="方正仿宋_GBK"/>
          <w:sz w:val="30"/>
        </w:rPr>
        <w:t>下行至</w:t>
      </w:r>
      <w:r>
        <w:rPr>
          <w:rFonts w:ascii="方正仿宋_GBK" w:hAnsi="方正仿宋_GBK" w:eastAsia="方正仿宋_GBK" w:cs="方正仿宋_GBK"/>
          <w:sz w:val="30"/>
        </w:rPr>
        <w:t>2.70%</w:t>
      </w:r>
      <w:r>
        <w:rPr>
          <w:rFonts w:hint="eastAsia" w:ascii="方正仿宋_GBK" w:hAnsi="方正仿宋_GBK" w:eastAsia="方正仿宋_GBK" w:cs="方正仿宋_GBK"/>
          <w:sz w:val="30"/>
        </w:rPr>
        <w:t>阻力位置。</w:t>
      </w:r>
      <w:r>
        <w:rPr>
          <w:rFonts w:ascii="方正仿宋_GBK" w:hAnsi="方正仿宋_GBK" w:eastAsia="方正仿宋_GBK" w:cs="方正仿宋_GBK"/>
          <w:sz w:val="30"/>
        </w:rPr>
        <w:t>8</w:t>
      </w:r>
      <w:r>
        <w:rPr>
          <w:rFonts w:hint="eastAsia" w:ascii="方正仿宋_GBK" w:hAnsi="方正仿宋_GBK" w:eastAsia="方正仿宋_GBK" w:cs="方正仿宋_GBK"/>
          <w:sz w:val="30"/>
        </w:rPr>
        <w:t>月中旬，央行</w:t>
      </w:r>
      <w:r>
        <w:rPr>
          <w:rFonts w:ascii="方正仿宋_GBK" w:hAnsi="方正仿宋_GBK" w:eastAsia="方正仿宋_GBK" w:cs="方正仿宋_GBK"/>
          <w:sz w:val="30"/>
        </w:rPr>
        <w:t>MLF</w:t>
      </w:r>
      <w:r>
        <w:rPr>
          <w:rFonts w:hint="eastAsia" w:ascii="方正仿宋_GBK" w:hAnsi="方正仿宋_GBK" w:eastAsia="方正仿宋_GBK" w:cs="方正仿宋_GBK"/>
          <w:sz w:val="30"/>
        </w:rPr>
        <w:t>及</w:t>
      </w:r>
      <w:r>
        <w:rPr>
          <w:rFonts w:ascii="方正仿宋_GBK" w:hAnsi="方正仿宋_GBK" w:eastAsia="方正仿宋_GBK" w:cs="方正仿宋_GBK"/>
          <w:sz w:val="30"/>
        </w:rPr>
        <w:t>OMO</w:t>
      </w:r>
      <w:r>
        <w:rPr>
          <w:rFonts w:hint="eastAsia" w:ascii="方正仿宋_GBK" w:hAnsi="方正仿宋_GBK" w:eastAsia="方正仿宋_GBK" w:cs="方正仿宋_GBK"/>
          <w:sz w:val="30"/>
        </w:rPr>
        <w:t>中标利率双双下调</w:t>
      </w:r>
      <w:r>
        <w:rPr>
          <w:rFonts w:ascii="方正仿宋_GBK" w:hAnsi="方正仿宋_GBK" w:eastAsia="方正仿宋_GBK" w:cs="方正仿宋_GBK"/>
          <w:sz w:val="30"/>
        </w:rPr>
        <w:t>10BP</w:t>
      </w:r>
      <w:r>
        <w:rPr>
          <w:rFonts w:hint="eastAsia" w:ascii="方正仿宋_GBK" w:hAnsi="方正仿宋_GBK" w:eastAsia="方正仿宋_GBK" w:cs="方正仿宋_GBK"/>
          <w:sz w:val="30"/>
        </w:rPr>
        <w:t>，时隔</w:t>
      </w:r>
      <w:r>
        <w:rPr>
          <w:rFonts w:ascii="方正仿宋_GBK" w:hAnsi="方正仿宋_GBK" w:eastAsia="方正仿宋_GBK" w:cs="方正仿宋_GBK"/>
          <w:sz w:val="30"/>
        </w:rPr>
        <w:t>7</w:t>
      </w:r>
      <w:r>
        <w:rPr>
          <w:rFonts w:hint="eastAsia" w:ascii="方正仿宋_GBK" w:hAnsi="方正仿宋_GBK" w:eastAsia="方正仿宋_GBK" w:cs="方正仿宋_GBK"/>
          <w:sz w:val="30"/>
        </w:rPr>
        <w:t>个月之后再度降息，超出市场预期，</w:t>
      </w:r>
      <w:r>
        <w:rPr>
          <w:rFonts w:ascii="方正仿宋_GBK" w:hAnsi="方正仿宋_GBK" w:eastAsia="方正仿宋_GBK" w:cs="方正仿宋_GBK"/>
          <w:sz w:val="30"/>
        </w:rPr>
        <w:t>10</w:t>
      </w:r>
      <w:r>
        <w:rPr>
          <w:rFonts w:hint="eastAsia" w:ascii="方正仿宋_GBK" w:hAnsi="方正仿宋_GBK" w:eastAsia="方正仿宋_GBK" w:cs="方正仿宋_GBK"/>
          <w:sz w:val="30"/>
        </w:rPr>
        <w:t>年国债收益率跌破</w:t>
      </w:r>
      <w:r>
        <w:rPr>
          <w:rFonts w:ascii="方正仿宋_GBK" w:hAnsi="方正仿宋_GBK" w:eastAsia="方正仿宋_GBK" w:cs="方正仿宋_GBK"/>
          <w:sz w:val="30"/>
        </w:rPr>
        <w:t>2.6%</w:t>
      </w:r>
      <w:r>
        <w:rPr>
          <w:rFonts w:hint="eastAsia" w:ascii="方正仿宋_GBK" w:hAnsi="方正仿宋_GBK" w:eastAsia="方正仿宋_GBK" w:cs="方正仿宋_GBK"/>
          <w:sz w:val="30"/>
        </w:rPr>
        <w:t>，突破</w:t>
      </w:r>
      <w:r>
        <w:rPr>
          <w:rFonts w:ascii="方正仿宋_GBK" w:hAnsi="方正仿宋_GBK" w:eastAsia="方正仿宋_GBK" w:cs="方正仿宋_GBK"/>
          <w:sz w:val="30"/>
        </w:rPr>
        <w:t>1</w:t>
      </w:r>
      <w:r>
        <w:rPr>
          <w:rFonts w:hint="eastAsia" w:ascii="方正仿宋_GBK" w:hAnsi="方正仿宋_GBK" w:eastAsia="方正仿宋_GBK" w:cs="方正仿宋_GBK"/>
          <w:sz w:val="30"/>
        </w:rPr>
        <w:t>月底收益率低位，距</w:t>
      </w:r>
      <w:r>
        <w:rPr>
          <w:rFonts w:ascii="方正仿宋_GBK" w:hAnsi="方正仿宋_GBK" w:eastAsia="方正仿宋_GBK" w:cs="方正仿宋_GBK"/>
          <w:sz w:val="30"/>
        </w:rPr>
        <w:t>2020</w:t>
      </w:r>
      <w:r>
        <w:rPr>
          <w:rFonts w:hint="eastAsia" w:ascii="方正仿宋_GBK" w:hAnsi="方正仿宋_GBK" w:eastAsia="方正仿宋_GBK" w:cs="方正仿宋_GBK"/>
          <w:sz w:val="30"/>
        </w:rPr>
        <w:t>年疫情底约</w:t>
      </w:r>
      <w:r>
        <w:rPr>
          <w:rFonts w:ascii="方正仿宋_GBK" w:hAnsi="方正仿宋_GBK" w:eastAsia="方正仿宋_GBK" w:cs="方正仿宋_GBK"/>
          <w:sz w:val="30"/>
        </w:rPr>
        <w:t>15BP</w:t>
      </w:r>
      <w:r>
        <w:rPr>
          <w:rFonts w:hint="eastAsia" w:ascii="方正仿宋_GBK" w:hAnsi="方正仿宋_GBK" w:eastAsia="方正仿宋_GBK" w:cs="方正仿宋_GBK"/>
          <w:sz w:val="30"/>
        </w:rPr>
        <w:t>，本轮行情演绎相对较快。至</w:t>
      </w:r>
      <w:r>
        <w:rPr>
          <w:rFonts w:ascii="方正仿宋_GBK" w:hAnsi="方正仿宋_GBK" w:eastAsia="方正仿宋_GBK" w:cs="方正仿宋_GBK"/>
          <w:sz w:val="30"/>
        </w:rPr>
        <w:t>9</w:t>
      </w:r>
      <w:r>
        <w:rPr>
          <w:rFonts w:hint="eastAsia" w:ascii="方正仿宋_GBK" w:hAnsi="方正仿宋_GBK" w:eastAsia="方正仿宋_GBK" w:cs="方正仿宋_GBK"/>
          <w:sz w:val="30"/>
        </w:rPr>
        <w:t>月中旬，受人民币大幅贬值、房地产政策略有放松、</w:t>
      </w:r>
      <w:r>
        <w:rPr>
          <w:rFonts w:ascii="方正仿宋_GBK" w:hAnsi="方正仿宋_GBK" w:eastAsia="方正仿宋_GBK" w:cs="方正仿宋_GBK"/>
          <w:sz w:val="30"/>
        </w:rPr>
        <w:t>PMI</w:t>
      </w:r>
      <w:r>
        <w:rPr>
          <w:rFonts w:hint="eastAsia" w:ascii="方正仿宋_GBK" w:hAnsi="方正仿宋_GBK" w:eastAsia="方正仿宋_GBK" w:cs="方正仿宋_GBK"/>
          <w:sz w:val="30"/>
        </w:rPr>
        <w:t>等前瞻数据边际好转，叠加季度末流动性偏紧等因素影响，空头情绪发酵，收益率整体上行，</w:t>
      </w:r>
      <w:r>
        <w:rPr>
          <w:rFonts w:ascii="方正仿宋_GBK" w:hAnsi="方正仿宋_GBK" w:eastAsia="方正仿宋_GBK" w:cs="方正仿宋_GBK"/>
          <w:sz w:val="30"/>
        </w:rPr>
        <w:t>10</w:t>
      </w:r>
      <w:r>
        <w:rPr>
          <w:rFonts w:hint="eastAsia" w:ascii="方正仿宋_GBK" w:hAnsi="方正仿宋_GBK" w:eastAsia="方正仿宋_GBK" w:cs="方正仿宋_GBK"/>
          <w:sz w:val="30"/>
        </w:rPr>
        <w:t>年国债收益率触及</w:t>
      </w:r>
      <w:r>
        <w:rPr>
          <w:rFonts w:ascii="方正仿宋_GBK" w:hAnsi="方正仿宋_GBK" w:eastAsia="方正仿宋_GBK" w:cs="方正仿宋_GBK"/>
          <w:sz w:val="30"/>
        </w:rPr>
        <w:t>2.75%</w:t>
      </w:r>
      <w:r>
        <w:rPr>
          <w:rFonts w:hint="eastAsia" w:ascii="方正仿宋_GBK" w:hAnsi="方正仿宋_GBK" w:eastAsia="方正仿宋_GBK" w:cs="方正仿宋_GBK"/>
          <w:sz w:val="30"/>
        </w:rPr>
        <w:t>以上，回升至本轮降息前水平，债市显著调整。三季度整体而言，信用债表现强于利率债，商业银行二级资本债及城投债下行幅度较大，信用利差、等级利差持续压缩。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展望第四季度，</w:t>
      </w:r>
      <w:r>
        <w:rPr>
          <w:rFonts w:ascii="方正仿宋_GBK" w:hAnsi="方正仿宋_GBK" w:eastAsia="方正仿宋_GBK" w:cs="方正仿宋_GBK"/>
          <w:sz w:val="30"/>
        </w:rPr>
        <w:t>10</w:t>
      </w:r>
      <w:r>
        <w:rPr>
          <w:rFonts w:hint="eastAsia" w:ascii="方正仿宋_GBK" w:hAnsi="方正仿宋_GBK" w:eastAsia="方正仿宋_GBK" w:cs="方正仿宋_GBK"/>
          <w:sz w:val="30"/>
        </w:rPr>
        <w:t>月初资金面恢复宽松，市场对信贷数据利空钝化，债市情绪略有好转。四季度，受人民币贬值压力制约，货币政策难有进一步宽松，</w:t>
      </w:r>
      <w:r>
        <w:rPr>
          <w:rFonts w:ascii="方正仿宋_GBK" w:hAnsi="方正仿宋_GBK" w:eastAsia="方正仿宋_GBK" w:cs="方正仿宋_GBK"/>
          <w:sz w:val="30"/>
        </w:rPr>
        <w:t>PMI</w:t>
      </w:r>
      <w:r>
        <w:rPr>
          <w:rFonts w:hint="eastAsia" w:ascii="方正仿宋_GBK" w:hAnsi="方正仿宋_GBK" w:eastAsia="方正仿宋_GBK" w:cs="方正仿宋_GBK"/>
          <w:sz w:val="30"/>
        </w:rPr>
        <w:t>及社融等前瞻数据预示经济边际好转，债市进一步承压；同时，“坚持动态清零”防疫政策不放松、权益市场偏好降低以及机构配置需求将对债市形成一定的支撑。</w:t>
      </w:r>
      <w:r>
        <w:rPr>
          <w:rFonts w:ascii="方正仿宋_GBK" w:hAnsi="方正仿宋_GBK" w:eastAsia="方正仿宋_GBK" w:cs="方正仿宋_GBK"/>
          <w:sz w:val="30"/>
        </w:rPr>
        <w:t>10</w:t>
      </w:r>
      <w:r>
        <w:rPr>
          <w:rFonts w:hint="eastAsia" w:ascii="方正仿宋_GBK" w:hAnsi="方正仿宋_GBK" w:eastAsia="方正仿宋_GBK" w:cs="方正仿宋_GBK"/>
          <w:sz w:val="30"/>
        </w:rPr>
        <w:t>月仍处于观察期，缺乏明确的方向性，在复苏斜率和高度受到一定制约的大背景下，预计债券收益率将在低位波动，直至经济的趋势性修复到来。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我司保留对以上所有文字说明的最终解释权。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感谢您一直以来对我司的支持！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特此公告。</w:t>
      </w:r>
    </w:p>
    <w:p>
      <w:pPr>
        <w:spacing w:line="48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</w:rPr>
      </w:pPr>
    </w:p>
    <w:p>
      <w:pPr>
        <w:spacing w:line="48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</w:rPr>
      </w:pPr>
    </w:p>
    <w:p>
      <w:pPr>
        <w:spacing w:line="48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</w:rPr>
      </w:pPr>
      <w:r>
        <w:rPr>
          <w:rFonts w:hint="eastAsia" w:ascii="方正仿宋_GBK" w:hAnsi="方正仿宋_GBK" w:eastAsia="方正仿宋_GBK" w:cs="方正仿宋_GBK"/>
          <w:sz w:val="30"/>
        </w:rPr>
        <w:t>交银理财有限责任公司</w:t>
      </w:r>
    </w:p>
    <w:p>
      <w:pPr>
        <w:spacing w:line="48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</w:rPr>
      </w:pPr>
      <w:r>
        <w:rPr>
          <w:rFonts w:ascii="方正仿宋_GBK" w:hAnsi="方正仿宋_GBK" w:eastAsia="方正仿宋_GBK" w:cs="方正仿宋_GBK"/>
          <w:sz w:val="30"/>
        </w:rPr>
        <w:t>2022年10月26日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B"/>
    <w:rsid w:val="00176538"/>
    <w:rsid w:val="003C3A37"/>
    <w:rsid w:val="00A77D20"/>
    <w:rsid w:val="00DF67B8"/>
    <w:rsid w:val="00EB452F"/>
    <w:rsid w:val="00F03E93"/>
    <w:rsid w:val="00F4440B"/>
    <w:rsid w:val="32553CA3"/>
    <w:rsid w:val="407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1696</Words>
  <Characters>2177</Characters>
  <Lines>16</Lines>
  <Paragraphs>4</Paragraphs>
  <TotalTime>0</TotalTime>
  <ScaleCrop>false</ScaleCrop>
  <LinksUpToDate>false</LinksUpToDate>
  <CharactersWithSpaces>2193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2022-10-18T03:30:00Z</dcterms:created>
  <dc:creator>浜ら摱鐞嗚储</dc:creator>
  <cp:lastModifiedBy>蔡雨薇</cp:lastModifiedBy>
  <dcterms:modified xsi:type="dcterms:W3CDTF">2022-10-26T07:46:11Z</dcterms:modified>
  <dc:title>交银理财稳享6个月定开2号理财产品（Z7000921000268）定期报告（2022年第三季度）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B3F8B81BA32048CE9D68FE7DD6CAD47C</vt:lpwstr>
  </property>
</Properties>
</file>